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招</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 xml:space="preserve">标</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 xml:space="preserve">文</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 xml:space="preserve">件</w:t>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bookmarkStart w:id="0" w:name="_Toc15175"/>
      <w:r/>
      <w:bookmarkStart w:id="1" w:name="_Toc6394"/>
      <w:r/>
      <w:bookmarkStart w:id="2" w:name="_Toc32037"/>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z w:val="32"/>
          <w:szCs w:val="32"/>
          <w:highlight w:val="none"/>
          <w:lang w:eastAsia="zh-CN"/>
          <w14:textFill>
            <w14:solidFill>
              <w14:schemeClr w14:val="tx1"/>
            </w14:solidFill>
          </w14:textFill>
        </w:rPr>
        <w:t xml:space="preserve">医院业务系统软件运维及接口服务包项目</w:t>
      </w:r>
      <w:r/>
    </w:p>
    <w:p>
      <w:pPr>
        <w:pStyle w:val="1244"/>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标书编号：</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JSZC-320582-ZZHX-G2026-0001</w:t>
      </w:r>
      <w:r/>
    </w:p>
    <w:p>
      <w:pPr>
        <w:pStyle w:val="1244"/>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项目属性：服务类</w:t>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244"/>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bookmarkStart w:id="3" w:name="_Toc8885"/>
      <w:r/>
      <w:bookmarkStart w:id="4" w:name="EB8ecef8d8d20b42199abb5fc67b67d8bb"/>
      <w:r/>
      <w:bookmarkStart w:id="5" w:name="_Toc479"/>
      <w:r/>
      <w:bookmarkStart w:id="6" w:name="_Toc31894"/>
      <w:r>
        <w:rPr>
          <w:rFonts w:hint="eastAsia" w:ascii="宋体" w:hAnsi="宋体" w:eastAsia="宋体" w:cs="宋体"/>
          <w:b/>
          <w:color w:val="000000" w:themeColor="text1"/>
          <w:sz w:val="32"/>
          <w:szCs w:val="32"/>
          <w:highlight w:val="none"/>
          <w14:textFill>
            <w14:solidFill>
              <w14:schemeClr w14:val="tx1"/>
            </w14:solidFill>
          </w14:textFill>
        </w:rPr>
        <w:t xml:space="preserve">苏州政合信咨询管理服务有限公司</w:t>
      </w:r>
      <w:bookmarkEnd w:id="3"/>
      <w:r/>
      <w:bookmarkEnd w:id="4"/>
      <w:r/>
      <w:bookmarkEnd w:id="5"/>
      <w:r/>
      <w:bookmarkEnd w:id="6"/>
      <w:r/>
      <w:r/>
    </w:p>
    <w:p>
      <w:pPr>
        <w:pStyle w:val="1244"/>
        <w:ind w:firstLine="0"/>
        <w:jc w:val="center"/>
        <w:rPr>
          <w:rFonts w:hint="eastAsia" w:ascii="宋体" w:hAnsi="宋体" w:eastAsia="宋体" w:cs="宋体"/>
          <w:b/>
          <w:bCs/>
          <w:color w:val="000000" w:themeColor="text1"/>
          <w:sz w:val="32"/>
          <w:highlight w:val="none"/>
          <w14:textFill>
            <w14:solidFill>
              <w14:schemeClr w14:val="tx1"/>
            </w14:solidFill>
          </w14:textFill>
        </w:rPr>
      </w:pPr>
      <w:r/>
      <w:bookmarkStart w:id="7" w:name="EB52307051e0d04806912e5842f73c8551"/>
      <w:r>
        <w:rPr>
          <w:rFonts w:hint="eastAsia" w:ascii="宋体" w:hAnsi="宋体" w:eastAsia="宋体" w:cs="宋体"/>
          <w:b/>
          <w:bCs/>
          <w:color w:val="000000" w:themeColor="text1"/>
          <w:sz w:val="32"/>
          <w:highlight w:val="none"/>
          <w14:textFill>
            <w14:solidFill>
              <w14:schemeClr w14:val="tx1"/>
            </w14:solidFill>
          </w14:textFill>
        </w:rPr>
        <w:t xml:space="preserve">202</w:t>
      </w:r>
      <w:r>
        <w:rPr>
          <w:rFonts w:hint="eastAsia" w:ascii="宋体" w:hAnsi="宋体" w:cs="宋体"/>
          <w:b/>
          <w:bCs/>
          <w:color w:val="000000" w:themeColor="text1"/>
          <w:sz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highlight w:val="none"/>
          <w14:textFill>
            <w14:solidFill>
              <w14:schemeClr w14:val="tx1"/>
            </w14:solidFill>
          </w14:textFill>
        </w:rPr>
        <w:t xml:space="preserve">年</w:t>
      </w:r>
      <w:r>
        <w:rPr>
          <w:rFonts w:hint="eastAsia" w:ascii="宋体" w:hAnsi="宋体" w:cs="宋体"/>
          <w:b/>
          <w:bCs/>
          <w:color w:val="000000" w:themeColor="text1"/>
          <w:sz w:val="32"/>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32"/>
          <w:highlight w:val="none"/>
          <w14:textFill>
            <w14:solidFill>
              <w14:schemeClr w14:val="tx1"/>
            </w14:solidFill>
          </w14:textFill>
        </w:rPr>
        <w:t xml:space="preserve">月</w:t>
      </w:r>
      <w:r>
        <w:rPr>
          <w:rFonts w:hint="eastAsia" w:ascii="宋体" w:hAnsi="宋体" w:cs="宋体"/>
          <w:b/>
          <w:bCs/>
          <w:color w:val="000000" w:themeColor="text1"/>
          <w:sz w:val="32"/>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 w:val="32"/>
          <w:highlight w:val="none"/>
          <w14:textFill>
            <w14:solidFill>
              <w14:schemeClr w14:val="tx1"/>
            </w14:solidFill>
          </w14:textFill>
        </w:rPr>
        <w:t xml:space="preserve">日</w:t>
      </w:r>
      <w:bookmarkEnd w:id="7"/>
      <w:r/>
      <w:r/>
    </w:p>
    <w:p>
      <w:pPr>
        <w:spacing w:before="120" w:after="120"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45"/>
        <w:rPr>
          <w:rFonts w:hint="eastAsia" w:ascii="宋体" w:hAnsi="宋体" w:eastAsia="宋体" w:cs="宋体"/>
          <w:color w:val="000000" w:themeColor="text1"/>
          <w:highlight w:val="none"/>
          <w14:textFill>
            <w14:solidFill>
              <w14:schemeClr w14:val="tx1"/>
            </w14:solidFill>
          </w14:textFill>
        </w:rPr>
        <w:sectPr>
          <w:headerReference w:type="default" r:id="rId9"/>
          <w:footerReference w:type="even" r:id="rId25"/>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before="181" w:after="181"/>
        <w:widowControl w:val="off"/>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  目  录</w:t>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_Toc941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第一章 投标邀请</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_Toc941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1</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_Toc31055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一、项目基本情况</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_Toc31055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_Toc26183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二、申请人的资格要求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_Toc26183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_Toc24380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三、获取招标文件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_Toc24380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_Toc30838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四、提交投标文件截止时间、开标时间和地点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_Toc30838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_Toc5486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五、公告期限</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_Toc5486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_Toc26049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六、其他补充事宜</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_Toc26049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_Toc7044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七、对本次招标提出询问，请按以下方式联系</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_Toc7044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_Toc28859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第二章 投标人须知</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_Toc28859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5</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_Toc3464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一、总则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_Toc3464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_Toc8697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二、招标文件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_Toc8697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_Toc9098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三、投标文件的编制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_Toc9098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_Toc9177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四、投标文件的制作、上传、递交</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_Toc9177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_Toc3798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五、开标与评标</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_Toc3798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_Toc22865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六、定标</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_Toc22865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_Toc10747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七、授予合同</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_Toc10747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_Toc28764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第三章 合同条款及格式</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_Toc28764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18</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_Toc23049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一、服务内容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_Toc23049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_Toc29897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二、合同金额</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_Toc29897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_Toc12963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三、技术资料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_Toc12963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_Toc20080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四、知识产权</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_Toc20080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_Toc15336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、转包或分包</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_Toc15336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_Toc11800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8"/>
          <w:szCs w:val="28"/>
          <w:highlight w:val="none"/>
          <w14:textFill>
            <w14:solidFill>
              <w14:schemeClr w14:val="tx1"/>
            </w14:solidFill>
          </w14:textFill>
        </w:rPr>
        <w:t xml:space="preserve">、服务期限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及服务地点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_Toc11800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_Toc28721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支付方式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_Toc28721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_Toc18073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8"/>
          <w:szCs w:val="28"/>
          <w:highlight w:val="none"/>
          <w14:textFill>
            <w14:solidFill>
              <w14:schemeClr w14:val="tx1"/>
            </w14:solidFill>
          </w14:textFill>
        </w:rPr>
        <w:t xml:space="preserve">、税</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_Toc18073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_Toc31034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8"/>
          <w:szCs w:val="28"/>
          <w:highlight w:val="none"/>
          <w14:textFill>
            <w14:solidFill>
              <w14:schemeClr w14:val="tx1"/>
            </w14:solidFill>
          </w14:textFill>
        </w:rPr>
        <w:t xml:space="preserve">、管理事项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_Toc31034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_Toc23548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8"/>
          <w:szCs w:val="28"/>
          <w:highlight w:val="none"/>
          <w14:textFill>
            <w14:solidFill>
              <w14:schemeClr w14:val="tx1"/>
            </w14:solidFill>
          </w14:textFill>
        </w:rPr>
        <w:t xml:space="preserve">、双方权利义务</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_Toc23548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_Toc12090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8"/>
          <w:szCs w:val="28"/>
          <w:highlight w:val="none"/>
          <w14:textFill>
            <w14:solidFill>
              <w14:schemeClr w14:val="tx1"/>
            </w14:solidFill>
          </w14:textFill>
        </w:rPr>
        <w:t xml:space="preserve">、服务质量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_Toc12090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_Toc16548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、违约责任</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_Toc16548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_Toc12774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、不可抗力事件处理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_Toc12774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_Toc22734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8"/>
          <w:szCs w:val="28"/>
          <w:highlight w:val="none"/>
          <w14:textFill>
            <w14:solidFill>
              <w14:schemeClr w14:val="tx1"/>
            </w14:solidFill>
          </w14:textFill>
        </w:rPr>
        <w:t xml:space="preserve">、诉讼</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_Toc22734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_Toc29312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、合同其他文件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_Toc29312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_Toc16094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8"/>
          <w:szCs w:val="28"/>
          <w:highlight w:val="none"/>
          <w14:textFill>
            <w14:solidFill>
              <w14:schemeClr w14:val="tx1"/>
            </w14:solidFill>
          </w14:textFill>
        </w:rPr>
        <w:t xml:space="preserve">、合同生效及其它</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_Toc16094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_Toc32601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第四章 项目需求</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_Toc32601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22</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_Toc14169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一、清单</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_Toc14169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_Toc9331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技术要求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_Toc9331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_Toc22915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、商务条款</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_Toc22915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_Toc21032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14:textFill>
            <w14:solidFill>
              <w14:schemeClr w14:val="tx1"/>
            </w14:solidFill>
          </w14:textFill>
        </w:rPr>
        <w:t xml:space="preserve">四、其他部分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_Toc21032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_Toc14828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第五章 评标方法与评标标准</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_Toc14828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31</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_Toc504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一、评标方法与定标原则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_Toc504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_Toc3705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二、评标标准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_Toc3705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9"/>
        <w:keepLines w:val="0"/>
        <w:keepNext w:val="0"/>
        <w:pageBreakBefore w:val="0"/>
        <w:spacing w:after="57" w:line="440" w:lineRule="exact"/>
        <w:widowControl w:val="off"/>
        <w:tabs>
          <w:tab w:val="right" w:pos="9746" w:leader="dot"/>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_Toc21238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第六章 投标文件格式</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_Toc21238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34</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_Toc16302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一、封面</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_Toc16302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_Toc8810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二、投标函</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_Toc8810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_Toc14654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三、开标一览表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_Toc14654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_Toc19097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四、资格证明文件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_Toc19097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_Toc18208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五</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、经费测算明细表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_Toc18208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_Toc21880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六</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、第四章项目需求中实质性要求响应对照表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_Toc21880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_Toc3403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七</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、服务方案</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_Toc3403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_Toc10924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八</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、投标人情况介绍</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_Toc10924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_Toc31660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九</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、技术</w:t>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要求</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响应及偏离表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_Toc31660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_Toc26167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十、商务条款响应及偏离表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_Toc26167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5"/>
        <w:keepLines w:val="0"/>
        <w:keepNext w:val="0"/>
        <w:pageBreakBefore w:val="0"/>
        <w:spacing w:after="57" w:line="44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_Toc17186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14:textFill>
            <w14:solidFill>
              <w14:schemeClr w14:val="tx1"/>
            </w14:solidFill>
          </w14:textFill>
        </w:rPr>
        <w:t xml:space="preserve">十一、</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其他材料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_Toc17186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keepLines w:val="0"/>
        <w:keepNext w:val="0"/>
        <w:pageBreakBefore w:val="0"/>
        <w:spacing w:after="57" w:line="440" w:lineRule="exact"/>
        <w:widowControl w:val="off"/>
        <w:tabs>
          <w:tab w:val="left" w:pos="1440" w:leader="none"/>
        </w:tabs>
        <w:rPr>
          <w:rFonts w:hint="eastAsia" w:ascii="宋体" w:hAnsi="宋体" w:eastAsia="宋体" w:cs="宋体"/>
          <w:b/>
          <w:bCs/>
          <w:color w:val="000000" w:themeColor="text1"/>
          <w:sz w:val="28"/>
          <w:szCs w:val="28"/>
          <w:highlight w:val="none"/>
          <w14:textFill>
            <w14:solidFill>
              <w14:schemeClr w14:val="tx1"/>
            </w14:solidFill>
          </w14:textFill>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246"/>
        <w:spacing w:before="313" w:after="313"/>
        <w:rPr>
          <w:rFonts w:hint="eastAsia" w:ascii="宋体" w:hAnsi="宋体" w:eastAsia="宋体" w:cs="宋体"/>
          <w:color w:val="000000" w:themeColor="text1"/>
          <w:highlight w:val="none"/>
          <w14:textFill>
            <w14:solidFill>
              <w14:schemeClr w14:val="tx1"/>
            </w14:solidFill>
          </w14:textFill>
        </w:rPr>
      </w:pPr>
      <w:r/>
      <w:bookmarkStart w:id="8" w:name="_Toc30062"/>
      <w:r/>
      <w:bookmarkStart w:id="9" w:name="_Toc941"/>
      <w:r/>
      <w:bookmarkStart w:id="10" w:name="_Toc35266018"/>
      <w:r/>
      <w:bookmarkStart w:id="11" w:name="_Toc38368118"/>
      <w:r/>
      <w:bookmarkStart w:id="12" w:name="_Toc54615237"/>
      <w:r/>
      <w:bookmarkStart w:id="13" w:name="_Toc10560"/>
      <w:r/>
      <w:bookmarkStart w:id="14" w:name="_Toc11775"/>
      <w:r>
        <w:rPr>
          <w:rFonts w:hint="eastAsia" w:ascii="宋体" w:hAnsi="宋体" w:eastAsia="宋体" w:cs="宋体"/>
          <w:color w:val="000000" w:themeColor="text1"/>
          <w:highlight w:val="none"/>
          <w14:textFill>
            <w14:solidFill>
              <w14:schemeClr w14:val="tx1"/>
            </w14:solidFill>
          </w14:textFill>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47"/>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9"/>
      </w:tblGrid>
      <w:tr>
        <w:trPr>
          <w:jc w:val="center"/>
          <w:trHeight w:val="567"/>
        </w:trPr>
        <w:tc>
          <w:tcPr>
            <w:tcW w:w="9819" w:type="dxa"/>
            <w:vAlign w:val="top"/>
            <w:textDirection w:val="lrTb"/>
            <w:noWrap/>
          </w:tcPr>
          <w:p>
            <w:pPr>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医院业务系统软件运维及接口服务包项目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bookmarkStart w:id="441" w:name="_GoBack"/>
            <w:r/>
            <w:bookmarkEnd w:id="441"/>
            <w:r>
              <w:rPr>
                <w:rFonts w:hint="eastAsia" w:ascii="宋体" w:hAnsi="宋体" w:cs="宋体"/>
                <w:color w:val="000000" w:themeColor="text1"/>
                <w:sz w:val="24"/>
                <w:szCs w:val="24"/>
                <w:highlight w:val="none"/>
                <w:lang w:val="en-US" w:eastAsia="zh-CN"/>
                <w14:textFill>
                  <w14:solidFill>
                    <w14:schemeClr w14:val="tx1"/>
                  </w14:solidFill>
                </w14:textFill>
              </w:rPr>
              <w:t xml:space="preserve">JSZC-320582-ZZHX-G2026-0001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招标项目的潜在投标人应在苏采云政府采购一体化平台（网址：http://jszfcg.jsczt.cn/）获取招标文件，并于202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tc>
      </w:tr>
    </w:tbl>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6" w:name="_Toc27994"/>
      <w:r/>
      <w:bookmarkStart w:id="17" w:name="_Toc10612"/>
      <w:r/>
      <w:bookmarkStart w:id="18" w:name="_Toc570"/>
      <w:r/>
      <w:bookmarkStart w:id="19" w:name="_Toc31055"/>
      <w:r>
        <w:rPr>
          <w:rFonts w:hint="eastAsia" w:ascii="宋体" w:hAnsi="宋体" w:eastAsia="宋体" w:cs="宋体"/>
          <w:b/>
          <w:bCs/>
          <w:color w:val="000000" w:themeColor="text1"/>
          <w:sz w:val="28"/>
          <w:szCs w:val="28"/>
          <w:highlight w:val="none"/>
          <w14:textFill>
            <w14:solidFill>
              <w14:schemeClr w14:val="tx1"/>
            </w14:solidFill>
          </w14:textFill>
        </w:rPr>
        <w:t xml:space="preserve">一、项目基本情况</w:t>
      </w:r>
      <w:bookmarkEnd w:id="16"/>
      <w:r/>
      <w:bookmarkEnd w:id="17"/>
      <w:r/>
      <w:bookmarkEnd w:id="18"/>
      <w:r/>
      <w:bookmarkEnd w:id="19"/>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JSZC-320582-ZZHX-G2026-0001</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医院业务系统软件运维及接口服务包项目</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bookmarkStart w:id="20" w:name="EB1a0e1eba70434d918dcf5b8e03079bcd"/>
      <w:r>
        <w:rPr>
          <w:rFonts w:hint="eastAsia" w:ascii="宋体" w:hAnsi="宋体" w:cs="宋体"/>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w:t>
      </w:r>
      <w:bookmarkEnd w:id="20"/>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bookmarkStart w:id="21" w:name="EB974fe10e1b834f1ab596364ccab62ca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w:t>
      </w:r>
      <w:bookmarkEnd w:id="21"/>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张家港市中医医院为适应医疗信息化发展的需要，推动医院信息化建设更上新高度，计划采购医院业务系统软件运维及接口服务包项目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合同履行期限</w:t>
      </w:r>
      <w:bookmarkStart w:id="22" w:name="EBc1f6639250fe4c2294880160fa37a7de"/>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bookmarkEnd w:id="2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1年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本项目（是/否）接受联合体投标：否。</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3" w:name="_Toc26183"/>
      <w:r/>
      <w:bookmarkStart w:id="24" w:name="_Toc5268"/>
      <w:r/>
      <w:bookmarkStart w:id="25" w:name="_Toc25988"/>
      <w:r/>
      <w:bookmarkStart w:id="26" w:name="_Toc2479"/>
      <w:r>
        <w:rPr>
          <w:rFonts w:hint="eastAsia" w:ascii="宋体" w:hAnsi="宋体" w:eastAsia="宋体" w:cs="宋体"/>
          <w:b/>
          <w:bCs/>
          <w:color w:val="000000" w:themeColor="text1"/>
          <w:sz w:val="28"/>
          <w:szCs w:val="28"/>
          <w:highlight w:val="none"/>
          <w14:textFill>
            <w14:solidFill>
              <w14:schemeClr w14:val="tx1"/>
            </w14:solidFill>
          </w14:textFill>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2.财务状况报告（成立不满一年不需要提供）。</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3.依法缴纳税收和社会保障资金的相关材料（如依法享受缓缴、免缴税收、社会保障资金的，应提供相关证明材料）。</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6.授权委托书（被授权人非法定代表人的，应提供授权委托书；被授权人是法定代表人的，应提供授权委托书或法定代表人身份证明书）。</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7.关于资格证明文件的书面承诺。</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1.本项目专门面向中小企业采购</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8" w:name="_Toc21214"/>
      <w:r/>
      <w:bookmarkStart w:id="29" w:name="_Toc5911"/>
      <w:r/>
      <w:bookmarkStart w:id="30" w:name="_Toc24380"/>
      <w:r/>
      <w:bookmarkStart w:id="31" w:name="_Toc29872"/>
      <w:r>
        <w:rPr>
          <w:rFonts w:hint="eastAsia" w:ascii="宋体" w:hAnsi="宋体" w:eastAsia="宋体" w:cs="宋体"/>
          <w:b/>
          <w:bCs/>
          <w:color w:val="000000" w:themeColor="text1"/>
          <w:sz w:val="28"/>
          <w:szCs w:val="28"/>
          <w:highlight w:val="none"/>
          <w14:textFill>
            <w14:solidFill>
              <w14:schemeClr w14:val="tx1"/>
            </w14:solidFill>
          </w14:textFill>
        </w:rPr>
        <w:t xml:space="preserve">三、获取招标文件</w:t>
      </w:r>
      <w:bookmarkEnd w:id="28"/>
      <w:r/>
      <w:bookmarkEnd w:id="29"/>
      <w:r/>
      <w:bookmarkEnd w:id="30"/>
      <w:r/>
      <w:bookmarkEnd w:id="31"/>
      <w:r/>
      <w:r/>
    </w:p>
    <w:p>
      <w:pPr>
        <w:ind w:firstLine="480"/>
        <w:jc w:val="both"/>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时间：自招标公告发布之日起5个工作日</w:t>
      </w:r>
      <w:r/>
    </w:p>
    <w:p>
      <w:pPr>
        <w:ind w:firstLine="480"/>
        <w:jc w:val="both"/>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地点：苏采云政府采购一体化平台（网址：http://jszfcg.jsczt.cn/）</w:t>
      </w:r>
      <w:r/>
    </w:p>
    <w:p>
      <w:pPr>
        <w:ind w:firstLine="480"/>
        <w:jc w:val="both"/>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苏采云政府采购一体化平台（网址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http://jszfcg.jsczt.cn/）</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售价：0.00元</w:t>
      </w:r>
      <w:r/>
    </w:p>
    <w:p>
      <w:pPr>
        <w:jc w:val="both"/>
        <w:keepLines w:val="0"/>
        <w:keepNext w:val="0"/>
        <w:pageBreakBefore w:val="0"/>
        <w:spacing w:line="520" w:lineRule="exact"/>
        <w:shd w:val="clear" w:color="auto" w:fill="auto"/>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2" w:name="_Toc32285"/>
      <w:r/>
      <w:bookmarkStart w:id="33" w:name="_Toc30838"/>
      <w:r/>
      <w:bookmarkStart w:id="34" w:name="_Toc26721"/>
      <w:r/>
      <w:bookmarkStart w:id="35" w:name="_Toc28359"/>
      <w:r>
        <w:rPr>
          <w:rFonts w:hint="eastAsia" w:ascii="宋体" w:hAnsi="宋体" w:eastAsia="宋体" w:cs="宋体"/>
          <w:b/>
          <w:bCs/>
          <w:color w:val="000000" w:themeColor="text1"/>
          <w:sz w:val="28"/>
          <w:szCs w:val="28"/>
          <w:highlight w:val="none"/>
          <w14:textFill>
            <w14:solidFill>
              <w14:schemeClr w14:val="tx1"/>
            </w14:solidFill>
          </w14:textFill>
        </w:rPr>
        <w:t xml:space="preserve">四、提交投标文件截止时间、开标时间和地点</w:t>
      </w:r>
      <w:bookmarkEnd w:id="32"/>
      <w:r/>
      <w:bookmarkEnd w:id="33"/>
      <w:r/>
      <w:bookmarkEnd w:id="34"/>
      <w:r/>
      <w:bookmarkEnd w:id="35"/>
      <w:r/>
      <w:r/>
    </w:p>
    <w:p>
      <w:pPr>
        <w:pStyle w:val="1249"/>
        <w:ind w:left="0" w:right="0" w:firstLine="508"/>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7"/>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时间：202</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年</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月</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日</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13</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0</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（北京时间）</w:t>
      </w:r>
      <w:r/>
    </w:p>
    <w:p>
      <w:pPr>
        <w:pStyle w:val="1249"/>
        <w:ind w:left="0" w:right="0" w:firstLine="508"/>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7"/>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地点：苏采云系统</w:t>
      </w:r>
      <w:r/>
    </w:p>
    <w:p>
      <w:pPr>
        <w:jc w:val="both"/>
        <w:keepLines w:val="0"/>
        <w:keepNext w:val="0"/>
        <w:pageBreakBefore w:val="0"/>
        <w:spacing w:line="520" w:lineRule="exact"/>
        <w:shd w:val="clear" w:color="auto" w:fill="auto"/>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6" w:name="_Toc26171"/>
      <w:r/>
      <w:bookmarkStart w:id="37" w:name="_Toc2201"/>
      <w:r/>
      <w:bookmarkStart w:id="38" w:name="_Toc9013"/>
      <w:r/>
      <w:bookmarkStart w:id="39" w:name="_Toc5486"/>
      <w:r>
        <w:rPr>
          <w:rFonts w:hint="eastAsia" w:ascii="宋体" w:hAnsi="宋体" w:eastAsia="宋体" w:cs="宋体"/>
          <w:b/>
          <w:bCs/>
          <w:color w:val="000000" w:themeColor="text1"/>
          <w:sz w:val="28"/>
          <w:szCs w:val="28"/>
          <w:highlight w:val="none"/>
          <w14:textFill>
            <w14:solidFill>
              <w14:schemeClr w14:val="tx1"/>
            </w14:solidFill>
          </w14:textFill>
        </w:rPr>
        <w:t xml:space="preserve">五、公告期限</w:t>
      </w:r>
      <w:bookmarkEnd w:id="36"/>
      <w:r/>
      <w:bookmarkEnd w:id="37"/>
      <w:r/>
      <w:bookmarkEnd w:id="38"/>
      <w:r/>
      <w:bookmarkEnd w:id="39"/>
      <w:r/>
      <w:r/>
    </w:p>
    <w:p>
      <w:pPr>
        <w:ind w:firstLine="555"/>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40" w:name="_Toc22877"/>
      <w:r/>
      <w:bookmarkStart w:id="41" w:name="_Toc19905"/>
      <w:r/>
      <w:bookmarkStart w:id="42" w:name="_Toc28612"/>
      <w:r/>
      <w:bookmarkStart w:id="43" w:name="_Toc26049"/>
      <w:r>
        <w:rPr>
          <w:rFonts w:hint="eastAsia" w:ascii="宋体" w:hAnsi="宋体" w:eastAsia="宋体" w:cs="宋体"/>
          <w:b/>
          <w:bCs/>
          <w:color w:val="000000" w:themeColor="text1"/>
          <w:sz w:val="28"/>
          <w:szCs w:val="28"/>
          <w:highlight w:val="none"/>
          <w14:textFill>
            <w14:solidFill>
              <w14:schemeClr w14:val="tx1"/>
            </w14:solidFill>
          </w14:textFill>
        </w:rPr>
        <w:t xml:space="preserve">六、其他补充事宜</w:t>
      </w:r>
      <w:bookmarkEnd w:id="40"/>
      <w:r/>
      <w:bookmarkEnd w:id="41"/>
      <w:r/>
      <w:bookmarkEnd w:id="42"/>
      <w:r/>
      <w:bookmarkEnd w:id="43"/>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1.CA证书办理</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2.参与采购活动</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3.电子投标准备</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在系统操作过程中如有疑问，请按以下方式联系：</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注册咨询：18261002950；</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CA技术咨询电话：400-608-6099；</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签章使用问题：025-83633811、025-83633812、15380932027、15371015030；</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系统使用指导与咨询：18261002950；QQ：3048755361、1315179389、895706745。</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7.本次招标不收取投标保证金。</w:t>
      </w:r>
      <w:r/>
    </w:p>
    <w:p>
      <w:pPr>
        <w:pStyle w:val="1249"/>
        <w:ind w:left="0" w:right="0" w:firstLine="480"/>
        <w:jc w:val="both"/>
        <w:keepLines w:val="0"/>
        <w:keepNext w:val="0"/>
        <w:pageBreakBefore w:val="0"/>
        <w:spacing w:before="0" w:beforeAutospacing="0" w:after="0" w:afterAutospacing="0" w:line="52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8.本项目不允许进口产品投标。</w:t>
      </w:r>
      <w:r/>
    </w:p>
    <w:p>
      <w:pPr>
        <w:jc w:val="both"/>
        <w:keepLines w:val="0"/>
        <w:keepNext w:val="0"/>
        <w:pageBreakBefore w:val="0"/>
        <w:spacing w:line="520" w:lineRule="exact"/>
        <w:shd w:val="clear" w:color="auto" w:fill="auto"/>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44" w:name="_Toc9938"/>
      <w:r/>
      <w:bookmarkStart w:id="45" w:name="_Toc6075"/>
      <w:r/>
      <w:bookmarkStart w:id="46" w:name="_Toc301"/>
      <w:r/>
      <w:bookmarkStart w:id="47" w:name="_Toc7044"/>
      <w:r>
        <w:rPr>
          <w:rFonts w:hint="eastAsia" w:ascii="宋体" w:hAnsi="宋体" w:eastAsia="宋体" w:cs="宋体"/>
          <w:b/>
          <w:bCs/>
          <w:color w:val="000000" w:themeColor="text1"/>
          <w:sz w:val="28"/>
          <w:szCs w:val="28"/>
          <w:highlight w:val="none"/>
          <w14:textFill>
            <w14:solidFill>
              <w14:schemeClr w14:val="tx1"/>
            </w14:solidFill>
          </w14:textFill>
        </w:rPr>
        <w:t xml:space="preserve">七、对本次招标提出询问，请按以下方式联系</w:t>
      </w:r>
      <w:bookmarkEnd w:id="44"/>
      <w:r/>
      <w:bookmarkEnd w:id="45"/>
      <w:r/>
      <w:bookmarkEnd w:id="46"/>
      <w:r/>
      <w:bookmarkEnd w:id="47"/>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1．采购人信息</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单位名称：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张家港市中医医院</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单位地址：张家港市杨舍镇康乐路4号</w:t>
      </w:r>
      <w:r/>
    </w:p>
    <w:p>
      <w:pPr>
        <w:ind w:firstLine="480"/>
        <w:jc w:val="both"/>
        <w:keepLines w:val="0"/>
        <w:keepNext w:val="0"/>
        <w:pageBreakBefore w:val="0"/>
        <w:spacing w:line="520" w:lineRule="exact"/>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徐磊</w:t>
      </w:r>
      <w:r/>
    </w:p>
    <w:p>
      <w:pPr>
        <w:ind w:firstLine="480"/>
        <w:jc w:val="both"/>
        <w:keepLines w:val="0"/>
        <w:keepNext w:val="0"/>
        <w:pageBreakBefore w:val="0"/>
        <w:spacing w:line="520" w:lineRule="exact"/>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联系电话：0512-</w:t>
      </w:r>
      <w:r>
        <w:rPr>
          <w:rFonts w:hint="eastAsia" w:ascii="宋体" w:hAnsi="宋体" w:cs="宋体"/>
          <w:color w:val="000000" w:themeColor="text1"/>
          <w:sz w:val="24"/>
          <w:szCs w:val="24"/>
          <w:highlight w:val="none"/>
          <w:lang w:val="en-US" w:eastAsia="zh-CN"/>
          <w14:textFill>
            <w14:solidFill>
              <w14:schemeClr w14:val="tx1"/>
            </w14:solidFill>
          </w14:textFill>
        </w:rPr>
        <w:t xml:space="preserve">56380355</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名称：</w:t>
      </w:r>
      <w:bookmarkStart w:id="48" w:name="EB87bd51c9d802413bae3fcd0e825858ca"/>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48"/>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张家港市长兴路13号1号楼2楼</w:t>
      </w:r>
      <w:r/>
    </w:p>
    <w:p>
      <w:pPr>
        <w:ind w:firstLine="480"/>
        <w:jc w:val="both"/>
        <w:keepLines w:val="0"/>
        <w:keepNext w:val="0"/>
        <w:pageBreakBefore w:val="0"/>
        <w:spacing w:line="520" w:lineRule="exact"/>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周子颖</w:t>
      </w:r>
      <w:r/>
    </w:p>
    <w:p>
      <w:pPr>
        <w:ind w:firstLine="480"/>
        <w:jc w:val="both"/>
        <w:keepLines w:val="0"/>
        <w:keepNext w:val="0"/>
        <w:pageBreakBefore w:val="0"/>
        <w:spacing w:line="520" w:lineRule="exact"/>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14:textFill>
            <w14:solidFill>
              <w14:schemeClr w14:val="tx1"/>
            </w14:solidFill>
          </w14:textFill>
        </w:rPr>
        <w:t xml:space="preserve">0512-58918185、</w:t>
      </w:r>
      <w:r>
        <w:rPr>
          <w:rFonts w:hint="eastAsia" w:ascii="宋体" w:hAnsi="宋体" w:cs="宋体"/>
          <w:color w:val="000000" w:themeColor="text1"/>
          <w:sz w:val="24"/>
          <w:szCs w:val="24"/>
          <w:highlight w:val="none"/>
          <w:lang w:val="en-US" w:eastAsia="zh-CN"/>
          <w14:textFill>
            <w14:solidFill>
              <w14:schemeClr w14:val="tx1"/>
            </w14:solidFill>
          </w14:textFill>
        </w:rPr>
        <w:t xml:space="preserve">18260250207</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周子颖</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电话：0512-58918185、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18260250207</w:t>
      </w:r>
      <w:r/>
    </w:p>
    <w:p>
      <w:pPr>
        <w:pStyle w:val="1250"/>
        <w:jc w:val="both"/>
        <w:keepLines w:val="0"/>
        <w:keepNext w:val="0"/>
        <w:pageBreakBefore w:val="0"/>
        <w:spacing w:line="500" w:lineRule="exact"/>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26"/>
          <w:footerReference w:type="even" r:id="rId27"/>
          <w:footerReference w:type="first" r:id="rId28"/>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000000" w:themeColor="text1"/>
          <w:highlight w:val="none"/>
          <w14:textFill>
            <w14:solidFill>
              <w14:schemeClr w14:val="tx1"/>
            </w14:solidFill>
          </w14:textFill>
        </w:rPr>
      </w:r>
      <w:r/>
    </w:p>
    <w:p>
      <w:pPr>
        <w:pStyle w:val="1246"/>
        <w:keepLines w:val="0"/>
        <w:keepNext w:val="0"/>
        <w:pageBreakBefore w:val="0"/>
        <w:spacing w:before="313" w:after="313" w:line="520" w:lineRule="exact"/>
        <w:rPr>
          <w:rFonts w:hint="eastAsia" w:ascii="宋体" w:hAnsi="宋体" w:eastAsia="宋体" w:cs="宋体"/>
          <w:color w:val="000000" w:themeColor="text1"/>
          <w:highlight w:val="none"/>
          <w14:textFill>
            <w14:solidFill>
              <w14:schemeClr w14:val="tx1"/>
            </w14:solidFill>
          </w14:textFill>
        </w:rPr>
      </w:pPr>
      <w:r/>
      <w:bookmarkStart w:id="49" w:name="_Toc20167"/>
      <w:r/>
      <w:bookmarkStart w:id="50" w:name="_Toc28859"/>
      <w:r/>
      <w:bookmarkStart w:id="51" w:name="_Toc38368119"/>
      <w:r/>
      <w:bookmarkStart w:id="52" w:name="_Toc35266019"/>
      <w:r/>
      <w:bookmarkStart w:id="53" w:name="_Toc15313"/>
      <w:r/>
      <w:bookmarkStart w:id="54" w:name="_Toc2516"/>
      <w:r/>
      <w:bookmarkStart w:id="55" w:name="_Toc54615238"/>
      <w:r>
        <w:rPr>
          <w:rFonts w:hint="eastAsia" w:ascii="宋体" w:hAnsi="宋体" w:eastAsia="宋体" w:cs="宋体"/>
          <w:color w:val="000000" w:themeColor="text1"/>
          <w:highlight w:val="none"/>
          <w14:textFill>
            <w14:solidFill>
              <w14:schemeClr w14:val="tx1"/>
            </w14:solidFill>
          </w14:textFill>
        </w:rPr>
        <w:t xml:space="preserve">第二章 </w:t>
      </w:r>
      <w:bookmarkEnd w:id="15"/>
      <w:r/>
      <w:bookmarkStart w:id="56" w:name="_Toc513029202"/>
      <w:r/>
      <w:bookmarkStart w:id="57" w:name="_Toc16938518"/>
      <w:r/>
      <w:bookmarkStart w:id="58" w:name="_Toc20823274"/>
      <w:r/>
      <w:bookmarkStart w:id="59" w:name="_Toc120614213"/>
      <w:r>
        <w:rPr>
          <w:rFonts w:hint="eastAsia" w:ascii="宋体" w:hAnsi="宋体" w:eastAsia="宋体" w:cs="宋体"/>
          <w:color w:val="000000" w:themeColor="text1"/>
          <w:highlight w:val="none"/>
          <w14:textFill>
            <w14:solidFill>
              <w14:schemeClr w14:val="tx1"/>
            </w14:solidFill>
          </w14:textFill>
        </w:rPr>
        <w:t xml:space="preserve">投标人须知</w:t>
      </w:r>
      <w:bookmarkEnd w:id="49"/>
      <w:r/>
      <w:bookmarkEnd w:id="50"/>
      <w:r/>
      <w:bookmarkEnd w:id="51"/>
      <w:r/>
      <w:bookmarkEnd w:id="52"/>
      <w:r/>
      <w:bookmarkEnd w:id="53"/>
      <w:r/>
      <w:bookmarkEnd w:id="54"/>
      <w:r/>
      <w:bookmarkEnd w:id="55"/>
      <w:r/>
      <w:bookmarkEnd w:id="56"/>
      <w:r/>
      <w:bookmarkEnd w:id="57"/>
      <w:r/>
      <w:bookmarkEnd w:id="58"/>
      <w:r/>
      <w:bookmarkEnd w:id="59"/>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60" w:name="_Toc3464"/>
      <w:r/>
      <w:bookmarkStart w:id="61" w:name="_Toc16938519"/>
      <w:r/>
      <w:bookmarkStart w:id="62" w:name="_Toc9325"/>
      <w:r/>
      <w:bookmarkStart w:id="63" w:name="_Toc38368120"/>
      <w:r/>
      <w:bookmarkStart w:id="64" w:name="_Toc7789"/>
      <w:r/>
      <w:bookmarkStart w:id="65" w:name="_Toc54615239"/>
      <w:r/>
      <w:bookmarkStart w:id="66" w:name="_Toc513029203"/>
      <w:r/>
      <w:bookmarkStart w:id="67" w:name="_Toc3250"/>
      <w:r/>
      <w:bookmarkStart w:id="68" w:name="_Toc120614214"/>
      <w:r/>
      <w:bookmarkStart w:id="69" w:name="_Toc35266020"/>
      <w:r/>
      <w:bookmarkStart w:id="70" w:name="_Toc20823275"/>
      <w:r/>
      <w:bookmarkStart w:id="71" w:name="_Toc513029242"/>
      <w:r/>
      <w:bookmarkStart w:id="72" w:name="_Toc16938558"/>
      <w:r/>
      <w:bookmarkStart w:id="73" w:name="_Toc20823314"/>
      <w:r/>
      <w:bookmarkStart w:id="74" w:name="_Toc120614221"/>
      <w:r/>
      <w:bookmarkStart w:id="75" w:name="_Toc479757207"/>
      <w:r>
        <w:rPr>
          <w:rFonts w:hint="eastAsia" w:ascii="宋体" w:hAnsi="宋体" w:eastAsia="宋体" w:cs="宋体"/>
          <w:b/>
          <w:bCs/>
          <w:color w:val="000000" w:themeColor="text1"/>
          <w:sz w:val="28"/>
          <w:szCs w:val="28"/>
          <w:highlight w:val="none"/>
          <w14:textFill>
            <w14:solidFill>
              <w14:schemeClr w14:val="tx1"/>
            </w14:solidFill>
          </w14:textFill>
        </w:rPr>
        <w:t xml:space="preserve">一、总则</w:t>
      </w:r>
      <w:bookmarkEnd w:id="60"/>
      <w:r/>
      <w:bookmarkEnd w:id="61"/>
      <w:r/>
      <w:bookmarkEnd w:id="62"/>
      <w:r/>
      <w:bookmarkEnd w:id="63"/>
      <w:r/>
      <w:bookmarkEnd w:id="64"/>
      <w:r/>
      <w:bookmarkEnd w:id="65"/>
      <w:r/>
      <w:bookmarkEnd w:id="66"/>
      <w:r/>
      <w:bookmarkEnd w:id="67"/>
      <w:r/>
      <w:bookmarkEnd w:id="68"/>
      <w:r/>
      <w:bookmarkEnd w:id="69"/>
      <w:r/>
      <w:bookmarkEnd w:id="70"/>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bookmarkStart w:id="76" w:name="_Hlt16619475"/>
      <w:r/>
      <w:bookmarkEnd w:id="76"/>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1．招标方式</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1.1 本次招标采取公开招标方式，本招标文件仅适用于招标公告中所述项目。</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2．合格的投标人</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2.1 满足招标公告中投标人的资格要求的规定。</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2.2 满足本文件实质性要求的规定（本招标文件中斜体且有下划线部分为实质性要求）。</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3．适用法律</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3.1 本次招标及由此产生的合同受中华人民共和国有关的法律法规制约和保护。</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4．投标费用</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4.1 投标人应自行承担所有与参加投标有关的费用，无论投标过程中的做法和结果如何，苏州政合信咨询管理服务有限公司在任何情况下均无义务和责任承担这些费用。</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 本次招标采购代理机构收取代理服务费。</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4.2.1 本项目采购代理服务费由中标人支付。</w:t>
      </w:r>
      <w:r/>
    </w:p>
    <w:p>
      <w:pPr>
        <w:pStyle w:val="1253"/>
        <w:ind w:firstLine="480"/>
        <w:jc w:val="both"/>
        <w:keepLines w:val="0"/>
        <w:keepNext w:val="0"/>
        <w:pageBreakBefore w:val="0"/>
        <w:spacing w:line="520" w:lineRule="exact"/>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4.2.2 代理费用收取方式：公对公转账。</w:t>
      </w:r>
      <w:r/>
    </w:p>
    <w:p>
      <w:pPr>
        <w:pStyle w:val="1253"/>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4.2.3 收费金额：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12750</w:t>
      </w:r>
      <w:r>
        <w:rPr>
          <w:rFonts w:hint="eastAsia" w:ascii="宋体" w:hAnsi="宋体" w:eastAsia="宋体" w:cs="宋体"/>
          <w:color w:val="000000" w:themeColor="text1"/>
          <w:sz w:val="24"/>
          <w:szCs w:val="24"/>
          <w:highlight w:val="none"/>
          <w14:textFill>
            <w14:solidFill>
              <w14:schemeClr w14:val="tx1"/>
            </w14:solidFill>
          </w14:textFill>
        </w:rPr>
        <w:t xml:space="preserve">元。由中标人按照预算金额的如下比例进行计算：即100万元内1.5%、100～500万元内1.1%、500～1000万元内0.8%，差额定率累进法计算并支付成交服务费。该费用由中标人在签订合同前向采购代理机构一次性付清。中标人如果未按规定缴纳代理服务费，采购代理机构将保留诉讼的权利。</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5．招标文件的约束力</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下载本招标文件决定参加投标，即被认为接受了本招标文件的规定和约束，并且视为已经知道或应当知道自身权益是否受到了损害。</w:t>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77" w:name="_Toc20823281"/>
      <w:r/>
      <w:bookmarkStart w:id="78" w:name="_Toc16938525"/>
      <w:r/>
      <w:bookmarkStart w:id="79" w:name="_Toc513029209"/>
      <w:r/>
      <w:bookmarkStart w:id="80" w:name="_Toc8697"/>
      <w:r/>
      <w:bookmarkStart w:id="81" w:name="_Toc38368121"/>
      <w:r/>
      <w:bookmarkStart w:id="82" w:name="_Toc2910"/>
      <w:r/>
      <w:bookmarkStart w:id="83" w:name="_Toc13675"/>
      <w:r/>
      <w:bookmarkStart w:id="84" w:name="_Toc120614215"/>
      <w:r/>
      <w:bookmarkStart w:id="85" w:name="_Toc35266021"/>
      <w:r/>
      <w:bookmarkStart w:id="86" w:name="_Toc1197"/>
      <w:r/>
      <w:bookmarkStart w:id="87" w:name="_Toc54615240"/>
      <w:r>
        <w:rPr>
          <w:rFonts w:hint="eastAsia" w:ascii="宋体" w:hAnsi="宋体" w:eastAsia="宋体" w:cs="宋体"/>
          <w:b/>
          <w:bCs/>
          <w:color w:val="000000" w:themeColor="text1"/>
          <w:sz w:val="28"/>
          <w:szCs w:val="28"/>
          <w:highlight w:val="none"/>
          <w14:textFill>
            <w14:solidFill>
              <w14:schemeClr w14:val="tx1"/>
            </w14:solidFill>
          </w14:textFill>
        </w:rPr>
        <w:t xml:space="preserve">二、招标文件</w:t>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88" w:name="_Toc20823282"/>
      <w:r/>
      <w:bookmarkStart w:id="89" w:name="_Toc513029210"/>
      <w:r/>
      <w:bookmarkStart w:id="90" w:name="_Toc1693852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6．招标文件构成</w:t>
      </w:r>
      <w:bookmarkEnd w:id="88"/>
      <w:r/>
      <w:bookmarkEnd w:id="89"/>
      <w:r/>
      <w:bookmarkEnd w:id="90"/>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招标文件有以下部分组成：</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（3）合同条款及格式</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（4）项目需求</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bookmarkStart w:id="91" w:name="EBbdde166065d14b62851231a61e89e609"/>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91"/>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92" w:name="_Toc16938528"/>
      <w:r/>
      <w:bookmarkStart w:id="93" w:name="_Toc513029212"/>
      <w:r/>
      <w:bookmarkStart w:id="94" w:name="_Toc462564071"/>
      <w:r/>
      <w:bookmarkStart w:id="95" w:name="_Toc2082328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7．招标文件的澄清或修改</w:t>
      </w:r>
      <w:bookmarkEnd w:id="92"/>
      <w:r/>
      <w:bookmarkEnd w:id="93"/>
      <w:r/>
      <w:bookmarkEnd w:id="94"/>
      <w:r/>
      <w:bookmarkEnd w:id="95"/>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在投标截止时间前。</w:t>
      </w:r>
      <w:bookmarkStart w:id="96" w:name="EBeec936f32a574d52a4992a8b94773f89"/>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96"/>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可以对招标文件进行澄清或修改。</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7.2</w:t>
      </w:r>
      <w:bookmarkStart w:id="97" w:name="EB14f04c7329d342c2b5d53bfcbbeaa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97"/>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招标文件的实质性变动或修改将在政府采购公告媒体网通知，投标人可自行下载。补充文件将作为招标文件的组成部分，并对投标人具有约束力。</w:t>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98" w:name="_Toc30626"/>
      <w:r/>
      <w:bookmarkStart w:id="99" w:name="_Toc462564072"/>
      <w:r/>
      <w:bookmarkStart w:id="100" w:name="_Toc54615241"/>
      <w:r/>
      <w:bookmarkStart w:id="101" w:name="_Toc20823285"/>
      <w:r/>
      <w:bookmarkStart w:id="102" w:name="_Toc23101"/>
      <w:r/>
      <w:bookmarkStart w:id="103" w:name="_Toc38368122"/>
      <w:r/>
      <w:bookmarkStart w:id="104" w:name="_Toc513029213"/>
      <w:r/>
      <w:bookmarkStart w:id="105" w:name="_Toc9098"/>
      <w:r/>
      <w:bookmarkStart w:id="106" w:name="_Toc35266022"/>
      <w:r/>
      <w:bookmarkStart w:id="107" w:name="_Toc16938529"/>
      <w:r/>
      <w:bookmarkStart w:id="108" w:name="_Toc9411"/>
      <w:r/>
      <w:bookmarkStart w:id="109" w:name="_Toc120614216"/>
      <w:r>
        <w:rPr>
          <w:rFonts w:hint="eastAsia" w:ascii="宋体" w:hAnsi="宋体" w:eastAsia="宋体" w:cs="宋体"/>
          <w:b/>
          <w:bCs/>
          <w:color w:val="000000" w:themeColor="text1"/>
          <w:sz w:val="28"/>
          <w:szCs w:val="28"/>
          <w:highlight w:val="none"/>
          <w14:textFill>
            <w14:solidFill>
              <w14:schemeClr w14:val="tx1"/>
            </w14:solidFill>
          </w14:textFill>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10" w:name="_Toc16938530"/>
      <w:r/>
      <w:bookmarkStart w:id="111" w:name="_Toc462564073"/>
      <w:r/>
      <w:bookmarkStart w:id="112" w:name="_Toc20823286"/>
      <w:r/>
      <w:bookmarkStart w:id="113" w:name="_Toc51302921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8．投标文件的语言及度量衡单位</w:t>
      </w:r>
      <w:bookmarkEnd w:id="110"/>
      <w:r/>
      <w:bookmarkEnd w:id="111"/>
      <w:r/>
      <w:bookmarkEnd w:id="112"/>
      <w:r/>
      <w:bookmarkEnd w:id="113"/>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bookmarkStart w:id="114" w:name="EB93850d2cac274df984aa2f93878c3cfe"/>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14"/>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15" w:name="_Toc513029215"/>
      <w:r/>
      <w:bookmarkStart w:id="116" w:name="_Toc16938531"/>
      <w:r/>
      <w:bookmarkStart w:id="117" w:name="_Toc462564074"/>
      <w:r/>
      <w:bookmarkStart w:id="118" w:name="_Toc2082328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9．投标文件构成</w:t>
      </w:r>
      <w:bookmarkEnd w:id="115"/>
      <w:r/>
      <w:bookmarkEnd w:id="116"/>
      <w:r/>
      <w:bookmarkEnd w:id="117"/>
      <w:r/>
      <w:bookmarkEnd w:id="118"/>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条款</w:t>
      </w:r>
      <w:r>
        <w:rPr>
          <w:rFonts w:hint="eastAsia" w:ascii="宋体" w:hAnsi="宋体" w:eastAsia="宋体" w:cs="宋体"/>
          <w:color w:val="000000" w:themeColor="text1"/>
          <w:sz w:val="24"/>
          <w:szCs w:val="24"/>
          <w:highlight w:val="none"/>
          <w14:textFill>
            <w14:solidFill>
              <w14:schemeClr w14:val="tx1"/>
            </w14:solidFill>
          </w14:textFill>
        </w:rPr>
        <w:t xml:space="preserve">响应及偏离表投标人情况介绍等部分。</w:t>
      </w:r>
      <w:r/>
    </w:p>
    <w:p>
      <w:pPr>
        <w:ind w:firstLine="480"/>
        <w:jc w:val="both"/>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19" w:name="_Hlt26670360"/>
      <w:r/>
      <w:bookmarkEnd w:id="119"/>
      <w:r/>
      <w:bookmarkStart w:id="120" w:name="_Hlt26954838"/>
      <w:r/>
      <w:bookmarkEnd w:id="120"/>
      <w:r/>
      <w:bookmarkStart w:id="121" w:name="_Hlt26668975"/>
      <w:r/>
      <w:bookmarkEnd w:id="121"/>
      <w:r/>
      <w:bookmarkStart w:id="122" w:name="_Toc14577357"/>
      <w:r/>
      <w:bookmarkStart w:id="123" w:name="_Toc513029219"/>
      <w:r/>
      <w:bookmarkStart w:id="124" w:name="_Toc49090509"/>
      <w:r/>
      <w:bookmarkStart w:id="125" w:name="_Toc49090507"/>
      <w:r/>
      <w:bookmarkStart w:id="126" w:name="_Toc14577354"/>
      <w:r/>
      <w:bookmarkStart w:id="127" w:name="_Toc51302921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10．投标函和开标一览表</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11．投标人资格证明文件</w:t>
      </w:r>
      <w:bookmarkEnd w:id="122"/>
      <w:r/>
      <w:bookmarkEnd w:id="123"/>
      <w:r/>
      <w:bookmarkEnd w:id="124"/>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w:t>
      </w:r>
      <w:bookmarkStart w:id="128" w:name="_Hlt26668999"/>
      <w:r/>
      <w:bookmarkEnd w:id="12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投标人应按招标文件的要求提交资格证明文件。</w:t>
      </w:r>
      <w:bookmarkEnd w:id="125"/>
      <w:r/>
      <w:bookmarkEnd w:id="126"/>
      <w:r/>
      <w:bookmarkEnd w:id="127"/>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29" w:name="_Toc14577355"/>
      <w:r/>
      <w:bookmarkStart w:id="130" w:name="_Toc49090508"/>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bookmarkEnd w:id="129"/>
      <w:r/>
      <w:bookmarkEnd w:id="13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．投标配置与分项报价表（或经费测算表）</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投标人应按照招标文件规定格式填报。每项货物和服务等只允许有一个报价。</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标的物</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采购人需求的有关服务等。</w:t>
      </w:r>
      <w:r/>
    </w:p>
    <w:p>
      <w:pPr>
        <w:pStyle w:val="1245"/>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12.2.2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投标货币</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 xml:space="preserve">单位标注。招标文件中另有规定的按规定执行。</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31" w:name="EB8486dd9157984dc9aa62437fb6aa6f0f"/>
      <w:r/>
      <w:bookmarkEnd w:id="131"/>
      <w:r>
        <w:rPr>
          <w:rFonts w:hint="eastAsia" w:ascii="宋体" w:hAnsi="宋体" w:eastAsia="宋体" w:cs="宋体"/>
          <w:bCs/>
          <w:color w:val="000000" w:themeColor="text1"/>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132" w:name="_Hlt26954731"/>
      <w:r/>
      <w:bookmarkEnd w:id="132"/>
      <w:r/>
      <w:bookmarkStart w:id="133" w:name="_Hlt26954848"/>
      <w:r/>
      <w:bookmarkEnd w:id="133"/>
      <w:r/>
      <w:bookmarkStart w:id="134" w:name="_Hlt26954846"/>
      <w:r/>
      <w:bookmarkEnd w:id="134"/>
      <w:r/>
      <w:bookmarkStart w:id="135" w:name="_Hlt26670482"/>
      <w:r/>
      <w:bookmarkEnd w:id="135"/>
      <w:r/>
      <w:bookmarkStart w:id="136" w:name="_Hlt26670486"/>
      <w:r/>
      <w:bookmarkEnd w:id="136"/>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37" w:name="_Toc49090510"/>
      <w:r/>
      <w:bookmarkStart w:id="138" w:name="_Toc1457735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13．技术及服务方案</w:t>
      </w:r>
      <w:r/>
    </w:p>
    <w:p>
      <w:pPr>
        <w:pStyle w:val="1255"/>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根据自己对需求的理解撰写需求分析和服务方案。</w:t>
      </w:r>
      <w:r/>
    </w:p>
    <w:p>
      <w:pPr>
        <w:pStyle w:val="1255"/>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14．技术要求响应及偏离表、商务条款响应及偏离表</w:t>
      </w:r>
      <w:r/>
    </w:p>
    <w:p>
      <w:pPr>
        <w:pStyle w:val="1256"/>
        <w:ind w:firstLine="480"/>
        <w:jc w:val="both"/>
        <w:keepLines w:val="0"/>
        <w:keepNext w:val="0"/>
        <w:pageBreakBefore w:val="0"/>
        <w:spacing w:line="520" w:lineRule="exact"/>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14.1 投标人需对招标文件中的技术要求与商务条款逐项作出响应或偏离，并说明原因。</w:t>
      </w:r>
      <w:r/>
    </w:p>
    <w:p>
      <w:pPr>
        <w:pStyle w:val="1256"/>
        <w:ind w:firstLine="480"/>
        <w:jc w:val="both"/>
        <w:keepLines w:val="0"/>
        <w:keepNext w:val="0"/>
        <w:pageBreakBefore w:val="0"/>
        <w:spacing w:line="520" w:lineRule="exact"/>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14.2 投标人可在电子投标文件中提供认为需要的其他技术文件或说明。</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15．投标人情况介绍</w:t>
      </w:r>
      <w:r/>
    </w:p>
    <w:p>
      <w:pPr>
        <w:pStyle w:val="1256"/>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15.1 投标人的总体情况应在电子投标文件中作出说明。</w:t>
      </w:r>
      <w:bookmarkEnd w:id="137"/>
      <w:r/>
      <w:bookmarkEnd w:id="138"/>
      <w:r/>
      <w:bookmarkStart w:id="139" w:name="EBf6e5e332cb7245ab8f3a9801503c122b"/>
      <w:r/>
      <w:bookmarkEnd w:id="139"/>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40" w:name="_Hlt26954850"/>
      <w:r/>
      <w:bookmarkEnd w:id="140"/>
      <w:r/>
      <w:bookmarkStart w:id="141" w:name="_Hlt26670489"/>
      <w:r/>
      <w:bookmarkEnd w:id="141"/>
      <w:r/>
      <w:bookmarkStart w:id="142" w:name="_Hlt26954734"/>
      <w:r/>
      <w:bookmarkEnd w:id="142"/>
      <w:r/>
      <w:bookmarkStart w:id="143" w:name="_Toc14577360"/>
      <w:r/>
      <w:bookmarkStart w:id="144" w:name="_Toc4909051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16．投标保证金</w:t>
      </w:r>
      <w:r/>
    </w:p>
    <w:p>
      <w:pPr>
        <w:pStyle w:val="1255"/>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本次招标不收取投标保证金。</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17．投标有效期</w:t>
      </w:r>
      <w:bookmarkEnd w:id="143"/>
      <w:r/>
      <w:bookmarkEnd w:id="144"/>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w:t>
      </w:r>
      <w:bookmarkStart w:id="145" w:name="EB42bffacbc3774d8f9be92be41fabfc13"/>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45"/>
      <w:r>
        <w:rPr>
          <w:rFonts w:hint="eastAsia" w:ascii="宋体" w:hAnsi="宋体" w:eastAsia="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。投标有效期比规定短的将被视为非响应性投标而予以拒绝。</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w:t>
      </w:r>
      <w:r>
        <w:rPr>
          <w:rFonts w:hint="eastAsia" w:ascii="宋体" w:hAnsi="宋体" w:eastAsia="宋体" w:cs="宋体"/>
          <w:bCs/>
          <w:color w:val="000000" w:themeColor="text1"/>
          <w:sz w:val="24"/>
          <w:szCs w:val="24"/>
          <w:highlight w:val="none"/>
          <w14:textFill>
            <w14:solidFill>
              <w14:schemeClr w14:val="tx1"/>
            </w14:solidFill>
          </w14:textFill>
        </w:rPr>
        <w:t xml:space="preserve"> 在特殊情况下，</w:t>
      </w:r>
      <w:bookmarkStart w:id="146" w:name="EB1a73f2f6d8ff43b6a705c8d1929594b0"/>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46"/>
      <w:r>
        <w:rPr>
          <w:rFonts w:hint="eastAsia" w:ascii="宋体" w:hAnsi="宋体" w:eastAsia="宋体" w:cs="宋体"/>
          <w:bCs/>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47"/>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18．投标文件的签署</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本招标文件所表述（指定）的公章是指法定名称章，不包括合同专用章、业务专用章等印章。</w:t>
      </w:r>
      <w:bookmarkStart w:id="148" w:name="_Hlt26954852"/>
      <w:r/>
      <w:bookmarkEnd w:id="148"/>
      <w:r/>
      <w:bookmarkStart w:id="149" w:name="_Hlt26954739"/>
      <w:r/>
      <w:bookmarkEnd w:id="149"/>
      <w:r/>
      <w:bookmarkStart w:id="150" w:name="EBfdb2e00cf1ee477a9cdb47d13b603829"/>
      <w:r/>
      <w:bookmarkEnd w:id="150"/>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51" w:name="_Toc28778"/>
      <w:r/>
      <w:bookmarkStart w:id="152" w:name="_Toc6389296"/>
      <w:r/>
      <w:bookmarkStart w:id="153" w:name="_Toc38368123"/>
      <w:r/>
      <w:bookmarkStart w:id="154" w:name="_Toc25009"/>
      <w:r/>
      <w:bookmarkStart w:id="155" w:name="_Toc54615242"/>
      <w:r/>
      <w:bookmarkStart w:id="156" w:name="_Toc35266023"/>
      <w:r/>
      <w:bookmarkStart w:id="157" w:name="_Toc9177"/>
      <w:r/>
      <w:bookmarkStart w:id="158" w:name="_Toc32209"/>
      <w:r/>
      <w:bookmarkStart w:id="159" w:name="_Toc6388848"/>
      <w:r/>
      <w:bookmarkStart w:id="160" w:name="_Toc120614217"/>
      <w:r/>
      <w:bookmarkStart w:id="161" w:name="_Toc16938540"/>
      <w:r/>
      <w:bookmarkStart w:id="162" w:name="_Toc20823296"/>
      <w:r/>
      <w:bookmarkStart w:id="163" w:name="_Toc513029224"/>
      <w:r>
        <w:rPr>
          <w:rFonts w:hint="eastAsia" w:ascii="宋体" w:hAnsi="宋体" w:eastAsia="宋体" w:cs="宋体"/>
          <w:b/>
          <w:bCs/>
          <w:color w:val="000000" w:themeColor="text1"/>
          <w:sz w:val="28"/>
          <w:szCs w:val="28"/>
          <w:highlight w:val="none"/>
          <w14:textFill>
            <w14:solidFill>
              <w14:schemeClr w14:val="tx1"/>
            </w14:solidFill>
          </w14:textFill>
        </w:rPr>
        <w:t xml:space="preserve">四、投标文件的制作、上传、递交</w:t>
      </w:r>
      <w:bookmarkEnd w:id="151"/>
      <w:r/>
      <w:bookmarkEnd w:id="152"/>
      <w:r/>
      <w:bookmarkEnd w:id="153"/>
      <w:r/>
      <w:bookmarkEnd w:id="154"/>
      <w:r/>
      <w:bookmarkEnd w:id="155"/>
      <w:r/>
      <w:bookmarkEnd w:id="156"/>
      <w:r/>
      <w:bookmarkEnd w:id="157"/>
      <w:r/>
      <w:bookmarkEnd w:id="158"/>
      <w:r/>
      <w:bookmarkEnd w:id="159"/>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19．投标文件的递交</w:t>
      </w:r>
      <w:r/>
    </w:p>
    <w:p>
      <w:pPr>
        <w:pStyle w:val="1257"/>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19.1 电子投标文件的递交</w:t>
      </w:r>
      <w:r/>
    </w:p>
    <w:p>
      <w:pPr>
        <w:pStyle w:val="1257"/>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投标人应当按照</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《苏采云系统供应商操作手册》</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规定，在投标截止时间前制作并上传电子投标文件。</w:t>
      </w:r>
      <w:bookmarkStart w:id="164" w:name="EB5e78b12e89984a20ab881c475623475b"/>
      <w:r/>
      <w:bookmarkEnd w:id="164"/>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65" w:name="_Toc6389298"/>
      <w:r/>
      <w:bookmarkStart w:id="166" w:name="_Toc638885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20．投标截止</w:t>
      </w:r>
      <w:bookmarkEnd w:id="165"/>
      <w:r/>
      <w:bookmarkEnd w:id="16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时间</w:t>
      </w:r>
      <w:r/>
    </w:p>
    <w:p>
      <w:pPr>
        <w:pStyle w:val="1258"/>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20.1 投标人上传电子投标文件的时间不得迟于招标公告中规定的投标截止时间。</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67" w:name="EB4c6421107b4c4e38bf2769d0237905a7"/>
      <w:r/>
      <w:bookmarkEnd w:id="167"/>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68" w:name="_Toc6389299"/>
      <w:r/>
      <w:bookmarkStart w:id="169" w:name="_Toc638885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21</w:t>
      </w:r>
      <w:bookmarkEnd w:id="168"/>
      <w:r/>
      <w:bookmarkEnd w:id="16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．投标文件的拒收</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w:t>
      </w:r>
      <w:bookmarkStart w:id="170" w:name="EBfffe463a2deb4e7cad93cb8e37ffda5e"/>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70"/>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拒绝接收在其规定的投标截止时间后递交的任何投标文件。</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71" w:name="_Toc6389300"/>
      <w:r/>
      <w:bookmarkStart w:id="172" w:name="_Toc638885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22．投标文件的修改和撤回</w:t>
      </w:r>
      <w:bookmarkEnd w:id="171"/>
      <w:r/>
      <w:bookmarkEnd w:id="172"/>
      <w:r/>
      <w:r/>
    </w:p>
    <w:p>
      <w:pPr>
        <w:pStyle w:val="1259"/>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22.1 投标人在递交投标文件后，可以修改或撤回其投标文件，但这种修改和撤回，必须在规定的投标截止时间前，具体操作方法见</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《苏采云系统供应商操作手册》</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59"/>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22.2 投标人撤回电子投标文件，则认为其不再参与本项目投标活动。</w:t>
      </w:r>
      <w:r/>
    </w:p>
    <w:p>
      <w:pPr>
        <w:pStyle w:val="1259"/>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22.3 在投标截止时间之后，投标人不得对其电子投标文件作任何修改。</w:t>
      </w:r>
      <w:r/>
    </w:p>
    <w:p>
      <w:pPr>
        <w:pStyle w:val="1259"/>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22.4 在投标截止时间至招标文件中规定的投标有效期满之间的这段时间内，投标人不得撤销其投标。</w:t>
      </w:r>
      <w:r/>
    </w:p>
    <w:p>
      <w:pPr>
        <w:pStyle w:val="1259"/>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22.5 不论投标人中标与否，投标文件均不退回。</w:t>
      </w:r>
      <w:bookmarkEnd w:id="160"/>
      <w:r/>
      <w:bookmarkEnd w:id="161"/>
      <w:r/>
      <w:bookmarkEnd w:id="162"/>
      <w:r/>
      <w:bookmarkEnd w:id="163"/>
      <w:r/>
      <w:bookmarkStart w:id="173" w:name="EB7c302f080cf342679641097daf23b42b"/>
      <w:r/>
      <w:bookmarkEnd w:id="173"/>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74" w:name="_Toc15158"/>
      <w:r/>
      <w:bookmarkStart w:id="175" w:name="_Toc3798"/>
      <w:r/>
      <w:bookmarkStart w:id="176" w:name="_Toc29753"/>
      <w:r/>
      <w:bookmarkStart w:id="177" w:name="_Toc20823301"/>
      <w:r/>
      <w:bookmarkStart w:id="178" w:name="_Toc16938545"/>
      <w:r/>
      <w:bookmarkStart w:id="179" w:name="_Toc38368124"/>
      <w:r/>
      <w:bookmarkStart w:id="180" w:name="_Toc35266024"/>
      <w:r/>
      <w:bookmarkStart w:id="181" w:name="_Toc7565"/>
      <w:r/>
      <w:bookmarkStart w:id="182" w:name="_Toc513029229"/>
      <w:r/>
      <w:bookmarkStart w:id="183" w:name="_Toc120614218"/>
      <w:r/>
      <w:bookmarkStart w:id="184" w:name="_Toc54615243"/>
      <w:r>
        <w:rPr>
          <w:rFonts w:hint="eastAsia" w:ascii="宋体" w:hAnsi="宋体" w:eastAsia="宋体" w:cs="宋体"/>
          <w:b/>
          <w:bCs/>
          <w:color w:val="000000" w:themeColor="text1"/>
          <w:sz w:val="28"/>
          <w:szCs w:val="28"/>
          <w:highlight w:val="none"/>
          <w14:textFill>
            <w14:solidFill>
              <w14:schemeClr w14:val="tx1"/>
            </w14:solidFill>
          </w14:textFill>
        </w:rPr>
        <w:t xml:space="preserve">五、开标与评标</w:t>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85" w:name="_Toc513029230"/>
      <w:r/>
      <w:bookmarkStart w:id="186" w:name="_Toc20823302"/>
      <w:r/>
      <w:bookmarkStart w:id="187" w:name="_Toc1693854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23．开标</w:t>
      </w:r>
      <w:bookmarkEnd w:id="185"/>
      <w:r/>
      <w:bookmarkEnd w:id="186"/>
      <w:r/>
      <w:bookmarkEnd w:id="187"/>
      <w:r/>
      <w:r/>
    </w:p>
    <w:p>
      <w:pPr>
        <w:pStyle w:val="1260"/>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260"/>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23.2 </w:t>
      </w:r>
      <w:bookmarkStart w:id="188" w:name="_Toc513029231"/>
      <w:r/>
      <w:bookmarkStart w:id="189" w:name="_Toc16938547"/>
      <w:r/>
      <w:bookmarkStart w:id="190" w:name="_Toc20823303"/>
      <w:r>
        <w:rPr>
          <w:rStyle w:val="1261"/>
          <w:rFonts w:hint="eastAsia" w:ascii="宋体" w:hAnsi="宋体" w:eastAsia="宋体" w:cs="宋体"/>
          <w:b w:val="0"/>
          <w:color w:val="000000" w:themeColor="text1"/>
          <w:spacing w:val="7"/>
          <w:sz w:val="24"/>
          <w:highlight w:val="none"/>
          <w14:textFill>
            <w14:solidFill>
              <w14:schemeClr w14:val="tx1"/>
            </w14:solidFill>
          </w14:textFill>
        </w:rPr>
        <w:t xml:space="preserve">开标时，由</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r>
        <w:rPr>
          <w:rStyle w:val="1261"/>
          <w:rFonts w:hint="eastAsia" w:ascii="宋体" w:hAnsi="宋体" w:eastAsia="宋体" w:cs="宋体"/>
          <w:b w:val="0"/>
          <w:color w:val="000000" w:themeColor="text1"/>
          <w:spacing w:val="7"/>
          <w:sz w:val="24"/>
          <w:highlight w:val="none"/>
          <w14:textFill>
            <w14:solidFill>
              <w14:schemeClr w14:val="tx1"/>
            </w14:solidFill>
          </w14:textFill>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24．评标委员会</w:t>
      </w:r>
      <w:r/>
    </w:p>
    <w:p>
      <w:pPr>
        <w:ind w:firstLine="480"/>
        <w:jc w:val="both"/>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bookmarkStart w:id="191" w:name="EBd93f728e80de47e5afd77299c0ffdfa6"/>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91"/>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 评委会由评审专家、采购人代表组成，且人员构成符合政府采购有关规定。</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评委会将对投标人的商业、技术秘密予以保密。</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25．评标过程的保密</w:t>
      </w:r>
      <w:bookmarkEnd w:id="188"/>
      <w:r/>
      <w:bookmarkEnd w:id="189"/>
      <w:r/>
      <w:bookmarkEnd w:id="19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与公正</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在评标过程中，如果投标人试图向</w:t>
      </w:r>
      <w:bookmarkStart w:id="192" w:name="EB8495c46e8cb146ec80ae8c0f7928221c"/>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92"/>
      <w:r>
        <w:rPr>
          <w:rFonts w:hint="eastAsia" w:ascii="宋体" w:hAnsi="宋体" w:eastAsia="宋体" w:cs="宋体"/>
          <w:bCs/>
          <w:color w:val="000000" w:themeColor="text1"/>
          <w:sz w:val="24"/>
          <w:szCs w:val="24"/>
          <w:highlight w:val="none"/>
          <w14:textFill>
            <w14:solidFill>
              <w14:schemeClr w14:val="tx1"/>
            </w14:solidFill>
          </w14:textFill>
        </w:rPr>
        <w:t xml:space="preserve">和参与评标的人员施加任何影响，都将会导致其投标被拒绝。</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93" w:name="_Toc20823304"/>
      <w:r/>
      <w:bookmarkStart w:id="194" w:name="_Toc16938548"/>
      <w:r/>
      <w:bookmarkStart w:id="195" w:name="_Toc513029232"/>
      <w:r>
        <w:rPr>
          <w:rFonts w:hint="eastAsia" w:ascii="宋体" w:hAnsi="宋体" w:eastAsia="宋体" w:cs="宋体"/>
          <w:bCs/>
          <w:color w:val="000000" w:themeColor="text1"/>
          <w:sz w:val="24"/>
          <w:szCs w:val="24"/>
          <w:highlight w:val="none"/>
          <w14:textFill>
            <w14:solidFill>
              <w14:schemeClr w14:val="tx1"/>
            </w14:solidFill>
          </w14:textFill>
        </w:rPr>
        <w:t xml:space="preserve">26．投标的澄清</w:t>
      </w:r>
      <w:bookmarkEnd w:id="193"/>
      <w:r/>
      <w:bookmarkEnd w:id="194"/>
      <w:r/>
      <w:bookmarkEnd w:id="195"/>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接到评委会澄清要求的投标人如未按规定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bCs/>
          <w:color w:val="000000" w:themeColor="text1"/>
          <w:sz w:val="24"/>
          <w:szCs w:val="24"/>
          <w:highlight w:val="none"/>
          <w14:textFill>
            <w14:solidFill>
              <w14:schemeClr w14:val="tx1"/>
            </w14:solidFill>
          </w14:textFill>
        </w:rPr>
        <w:t xml:space="preserve">出澄清，其风险由投标人自行承担。</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96" w:name="_Toc16938549"/>
      <w:r/>
      <w:bookmarkStart w:id="197" w:name="_Toc20823305"/>
      <w:r/>
      <w:bookmarkStart w:id="198" w:name="_Toc513029233"/>
      <w:r>
        <w:rPr>
          <w:rFonts w:hint="eastAsia" w:ascii="宋体" w:hAnsi="宋体" w:eastAsia="宋体" w:cs="宋体"/>
          <w:bCs/>
          <w:color w:val="000000" w:themeColor="text1"/>
          <w:sz w:val="24"/>
          <w:szCs w:val="24"/>
          <w:highlight w:val="none"/>
          <w14:textFill>
            <w14:solidFill>
              <w14:schemeClr w14:val="tx1"/>
            </w14:solidFill>
          </w14:textFill>
        </w:rPr>
        <w:t xml:space="preserve">27</w:t>
      </w:r>
      <w:bookmarkEnd w:id="196"/>
      <w:r/>
      <w:bookmarkEnd w:id="197"/>
      <w:r/>
      <w:bookmarkEnd w:id="198"/>
      <w:r>
        <w:rPr>
          <w:rFonts w:hint="eastAsia" w:ascii="宋体" w:hAnsi="宋体" w:eastAsia="宋体" w:cs="宋体"/>
          <w:bCs/>
          <w:color w:val="000000" w:themeColor="text1"/>
          <w:sz w:val="24"/>
          <w:szCs w:val="24"/>
          <w:highlight w:val="none"/>
          <w14:textFill>
            <w14:solidFill>
              <w14:schemeClr w14:val="tx1"/>
            </w14:solidFill>
          </w14:textFill>
        </w:rPr>
        <w:t xml:space="preserve">．对投标文件的初审</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资格性审查</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采购人或者采购代理机构依法对投标人的资格进行审查。</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关于信用查询：</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查询时间：投标文件递交截止时间。</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查询渠道：通过“信用中国”网站等渠道查询相关主体信用记录。</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符合性审查：</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w:t>
      </w:r>
      <w:r>
        <w:rPr>
          <w:rFonts w:hint="eastAsia" w:ascii="宋体" w:hAnsi="宋体" w:eastAsia="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 投标文件报价出现前后不一致的，按下列规定修正：</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 评委会将允许修正投标文件中不构成重大偏离的、微小的、非正规的、不一致的或不规则的地方，但这些修改不能影响任何投标人相应的名次排列。</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 异常低价投标审查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.6.1 评标过程中出现下列情形之一的，评标委员会应当启动异常低价投标审查程序：</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（1）投标报价低于采购项目预算50%的，即投标报价＜采购项目预算×50%；</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（2）投标报价低于采购项目最高限价45%的，即投标报价＜采购项目最高限价×45%；</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（3）评标委员会认定的供应商报价过低、有可能影响产品质量或者不能诚信履约的其他情形。</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99" w:name="_Toc513029234"/>
      <w:r/>
      <w:bookmarkStart w:id="200" w:name="_Toc16938550"/>
      <w:r/>
      <w:bookmarkStart w:id="201" w:name="_Toc20823306"/>
      <w:r/>
      <w:bookmarkStart w:id="202" w:name="_Toc20045196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28</w:t>
      </w:r>
      <w:bookmarkEnd w:id="199"/>
      <w:r/>
      <w:bookmarkEnd w:id="200"/>
      <w:r/>
      <w:bookmarkEnd w:id="20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．无效投标条款和废标条款</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 无效投标条款</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 投标人未按照招标文件要求上传电子投标文件的；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28.1.2 投标人在规定时间内不解密投标文件或未成功解密投标文件的（因系统原因导致的除外)；</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28.1.3 投标文件中没有《开标一览表》或《开标一览表》未加盖投标人公章的；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28.1.4 投标文件中任何有选择的报价；</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28.1.5 投标文件报价出现前后不一致的，按招标文件规定修正后投标人不确认的；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28.1.6 不同投标人的投标文件由同一单位或者个人编制；</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28.1.7 不同投标人委托同一单位或者个人办理投标事宜；</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28.1.8 不同投标人的投标文件载明的项目管理成员或者联系人员为同一人；</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28.1.9 不同投标人的投标文件异常一致或者投标报价呈规律性差异；</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28.1.10 不同投标人的投标文件制作机器码一致的；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262"/>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28.1.14 不同供应商的单位负责人为同一人或者存在直接控股、管理关系的；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28.1.15 为采购项目提供整体设计、规范编制或者项目管理、监理、检测等服务的；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28.1.16 资格证明文件中要求加盖公章而未加盖公章的；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28.1.17 投标文件未按招标文件要求签署、盖章的；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28.1.18 不具备招标文件中规定的资格要求或未按招标文件规定的要求提供资格证明文件的；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28.1.19 报价超过招标文件中规定的预算金额或者最高限价的；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28.1.20 投标文件含有采购人不能接受的附加条件的；</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28.1.21 不响应招标文件中规定的实质性要求的（本招标文件中斜体且有下划线部分为实质性要求）；</w:t>
      </w:r>
      <w:r/>
    </w:p>
    <w:p>
      <w:pPr>
        <w:pStyle w:val="1263"/>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28.1.22 法律、法规和采购文件规定的其他无效情形；</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28.2 废标条款：</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)因苏采云系统系统故障原因造成开标不成功的。</w:t>
      </w:r>
      <w:r/>
    </w:p>
    <w:p>
      <w:pPr>
        <w:pStyle w:val="1264"/>
        <w:ind w:firstLine="480"/>
        <w:jc w:val="both"/>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28.3 投标截止时间结束后参加投标的供应商不足三家的处理：</w:t>
      </w:r>
      <w:r/>
    </w:p>
    <w:p>
      <w:pPr>
        <w:pStyle w:val="1264"/>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28.3.1 如出现投标截止时间结束后参加投标的供应商或者在评标期间对招标文件做出实质响应的供应商不足三家情况，按财政部第87号令第四十三条的规定执行。</w:t>
      </w:r>
      <w:bookmarkStart w:id="203" w:name="EB369a3ca3706348fd9a6451dab4968a5b"/>
      <w:r/>
      <w:bookmarkEnd w:id="203"/>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04" w:name="_Toc16938551"/>
      <w:r/>
      <w:bookmarkStart w:id="205" w:name="_Toc513029235"/>
      <w:r/>
      <w:bookmarkStart w:id="206" w:name="_Toc20823307"/>
      <w:r/>
      <w:bookmarkStart w:id="207" w:name="_Toc22865"/>
      <w:r/>
      <w:bookmarkStart w:id="208" w:name="_Toc12744"/>
      <w:r/>
      <w:bookmarkStart w:id="209" w:name="_Toc38368125"/>
      <w:r/>
      <w:bookmarkStart w:id="210" w:name="_Toc35266025"/>
      <w:r/>
      <w:bookmarkStart w:id="211" w:name="_Toc120614219"/>
      <w:r/>
      <w:bookmarkStart w:id="212" w:name="_Toc54615244"/>
      <w:r/>
      <w:bookmarkStart w:id="213" w:name="_Toc25114"/>
      <w:r/>
      <w:bookmarkStart w:id="214" w:name="_Toc31022"/>
      <w:r>
        <w:rPr>
          <w:rFonts w:hint="eastAsia" w:ascii="宋体" w:hAnsi="宋体" w:eastAsia="宋体" w:cs="宋体"/>
          <w:b/>
          <w:bCs/>
          <w:color w:val="000000" w:themeColor="text1"/>
          <w:sz w:val="28"/>
          <w:szCs w:val="28"/>
          <w:highlight w:val="none"/>
          <w14:textFill>
            <w14:solidFill>
              <w14:schemeClr w14:val="tx1"/>
            </w14:solidFill>
          </w14:textFill>
        </w:rPr>
        <w:t xml:space="preserve">六、</w:t>
      </w:r>
      <w:bookmarkEnd w:id="204"/>
      <w:r/>
      <w:bookmarkEnd w:id="205"/>
      <w:r/>
      <w:bookmarkEnd w:id="206"/>
      <w:r>
        <w:rPr>
          <w:rFonts w:hint="eastAsia" w:ascii="宋体" w:hAnsi="宋体" w:eastAsia="宋体" w:cs="宋体"/>
          <w:b/>
          <w:bCs/>
          <w:color w:val="000000" w:themeColor="text1"/>
          <w:sz w:val="28"/>
          <w:szCs w:val="28"/>
          <w:highlight w:val="none"/>
          <w14:textFill>
            <w14:solidFill>
              <w14:schemeClr w14:val="tx1"/>
            </w14:solidFill>
          </w14:textFill>
        </w:rPr>
        <w:t xml:space="preserve">定标</w:t>
      </w:r>
      <w:bookmarkEnd w:id="207"/>
      <w:r/>
      <w:bookmarkEnd w:id="208"/>
      <w:r/>
      <w:bookmarkEnd w:id="209"/>
      <w:r/>
      <w:bookmarkEnd w:id="210"/>
      <w:r/>
      <w:bookmarkEnd w:id="211"/>
      <w:r/>
      <w:bookmarkEnd w:id="212"/>
      <w:r/>
      <w:bookmarkEnd w:id="213"/>
      <w:r/>
      <w:bookmarkEnd w:id="214"/>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15" w:name="_Toc513029238"/>
      <w:r/>
      <w:bookmarkStart w:id="216" w:name="_Toc20823310"/>
      <w:r/>
      <w:bookmarkStart w:id="217" w:name="_Toc1693855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29</w:t>
      </w:r>
      <w:bookmarkEnd w:id="21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．确定</w:t>
      </w:r>
      <w:bookmarkEnd w:id="216"/>
      <w:r/>
      <w:bookmarkEnd w:id="217"/>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人</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评委会根据本招标文件规定评标办法与评标标准向采购人推荐出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名中标候选人。</w:t>
      </w:r>
      <w:r/>
    </w:p>
    <w:p>
      <w:pPr>
        <w:pStyle w:val="1265"/>
        <w:ind w:firstLine="508"/>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29.2 </w:t>
      </w:r>
      <w:bookmarkEnd w:id="202"/>
      <w:r/>
      <w:bookmarkStart w:id="218" w:name="EBfa38c9fe4db84c47a946c1558a3ddb8f"/>
      <w:r/>
      <w:bookmarkEnd w:id="218"/>
      <w:r>
        <w:rPr>
          <w:rFonts w:hint="eastAsia" w:ascii="宋体" w:hAnsi="宋体" w:eastAsia="宋体" w:cs="宋体"/>
          <w:color w:val="000000" w:themeColor="text1"/>
          <w:sz w:val="24"/>
          <w:highlight w:val="none"/>
          <w14:textFill>
            <w14:solidFill>
              <w14:schemeClr w14:val="tx1"/>
            </w14:solidFill>
          </w14:textFill>
        </w:rPr>
        <w:t xml:space="preserve">采购人应根据评委会推荐的中标候选人确定中标人。</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若有充分证据证明，中标人出现下列情况之一的，一经查实，中标无效：</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（1）提供虚假材料谋取中标的；</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（2）采取不正当手段诋毁、排挤其他供应商的；</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（3）与采购人、其他供应商或者采购代理机构恶意串通的；</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（4）向采购人、采购代理机构行贿或者提供其他不正当利益的；</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（5）在招标采购过程中与采购人进行协商谈判的；</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（6）向评标委员会行贿或者提供其他不正当利益。</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质疑</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30.1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质疑形式</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30.1.1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提出）。非书面形式、七个工作日之外提交的质疑将不予受理。</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.1.3质疑函应当包括下列内容：</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.1.3.1供应商的姓名或者名称、地址、邮编、联系人及联系电话；</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.1.3.2质疑项目的名称、编号；</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.1.3.3具体、明确的质疑事项和与质疑事项相关的请求；</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.1.3.4事实依据；</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.1.3.5必要的法律依据；</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.1.3.6提出质疑的日期。</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.1.4质疑函应当由法定代表人、主要负责人，或者其授权代表签字或者盖章，并加盖公章。匿名提交的质疑将不予受理。</w:t>
      </w:r>
      <w:r/>
    </w:p>
    <w:p>
      <w:pPr>
        <w:ind w:firstLine="482"/>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.1.5质疑的送达方式</w:t>
      </w:r>
      <w:r/>
    </w:p>
    <w:p>
      <w:pPr>
        <w:ind w:firstLine="482"/>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特别提示</w:t>
      </w:r>
      <w:r/>
    </w:p>
    <w:p>
      <w:pPr>
        <w:ind w:firstLine="480"/>
        <w:jc w:val="both"/>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.2供应商在法定质疑期内应一次性提出针对同一采购程序环节的质疑。</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.3供应商提出质疑必须有理、有据，不得恶意质疑或提交虚假质疑。否则，一经查实，采购人或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有权依据政府采购的有关规定，报请政府采购监管部门对该投标人进行相应的行政处罚。</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其他</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.1采购人或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将在收到供应商的质疑后七个工作日内作出答复，答复的内容不涉及商业秘密。</w:t>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31．中标通知书</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在中标结果确定后2个工作日内，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z w:val="24"/>
          <w:highlight w:val="none"/>
          <w14:textFill>
            <w14:solidFill>
              <w14:schemeClr w14:val="tx1"/>
            </w14:solidFill>
          </w14:textFill>
        </w:rPr>
        <w:t xml:space="preserve">向中标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发出中标通知书。请中标人在中标结果公告届满之日起30日内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因未及时下载而造成的不利后果由中标人自行承担。</w:t>
      </w:r>
      <w:r/>
    </w:p>
    <w:p>
      <w:pPr>
        <w:ind w:firstLine="480"/>
        <w:jc w:val="both"/>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19" w:name="_Toc3165"/>
      <w:r/>
      <w:bookmarkStart w:id="220" w:name="_Toc186"/>
      <w:r/>
      <w:bookmarkStart w:id="221" w:name="_Toc2552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.2 中标通知书将是合同的一个组成部分。对采购人和中标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放弃中标项目的，应当依法承担法律责任。</w:t>
      </w:r>
      <w:r/>
    </w:p>
    <w:p>
      <w:pPr>
        <w:jc w:val="both"/>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22" w:name="_Toc10747"/>
      <w:r>
        <w:rPr>
          <w:rFonts w:hint="eastAsia" w:ascii="宋体" w:hAnsi="宋体" w:eastAsia="宋体" w:cs="宋体"/>
          <w:b/>
          <w:bCs/>
          <w:color w:val="000000" w:themeColor="text1"/>
          <w:sz w:val="28"/>
          <w:szCs w:val="28"/>
          <w:highlight w:val="none"/>
          <w14:textFill>
            <w14:solidFill>
              <w14:schemeClr w14:val="tx1"/>
            </w14:solidFill>
          </w14:textFill>
        </w:rPr>
        <w:t xml:space="preserve">七、授予合同</w:t>
      </w:r>
      <w:bookmarkEnd w:id="219"/>
      <w:r/>
      <w:bookmarkEnd w:id="220"/>
      <w:r/>
      <w:bookmarkEnd w:id="221"/>
      <w:r/>
      <w:bookmarkEnd w:id="222"/>
      <w:r/>
      <w:r/>
    </w:p>
    <w:p>
      <w:pPr>
        <w:ind w:firstLine="480"/>
        <w:jc w:val="both"/>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32．签订合同</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32.l</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highlight w:val="none"/>
          <w14:textFill>
            <w14:solidFill>
              <w14:schemeClr w14:val="tx1"/>
            </w14:solidFill>
          </w14:textFill>
        </w:rPr>
        <w:t xml:space="preserve">按照《关于做好政府采购支持企业发展有关事项的通知》（苏财购〔2020〕52号）及《关于印发</w:t>
      </w:r>
      <w:r>
        <w:rPr>
          <w:rFonts w:hint="eastAsia" w:ascii="宋体" w:hAnsi="宋体" w:eastAsia="宋体" w:cs="宋体"/>
          <w:b/>
          <w:color w:val="000000" w:themeColor="text1"/>
          <w:sz w:val="24"/>
          <w:highlight w:val="none"/>
          <w14:textFill>
            <w14:solidFill>
              <w14:schemeClr w14:val="tx1"/>
            </w14:solidFill>
          </w14:textFill>
        </w:rPr>
        <w:t xml:space="preserve">&lt;</w:t>
      </w:r>
      <w:r>
        <w:rPr>
          <w:rFonts w:hint="eastAsia" w:ascii="宋体" w:hAnsi="宋体" w:eastAsia="宋体" w:cs="宋体"/>
          <w:b/>
          <w:bCs w:val="0"/>
          <w:color w:val="000000" w:themeColor="text1"/>
          <w:sz w:val="24"/>
          <w:highlight w:val="none"/>
          <w14:textFill>
            <w14:solidFill>
              <w14:schemeClr w14:val="tx1"/>
            </w14:solidFill>
          </w14:textFill>
        </w:rPr>
        <w:t xml:space="preserve">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both"/>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32.2 招标文件、中标人的投标文件及招标过程中有关澄清、承诺文件均应作为合同附件。</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 签订合同后，中标人不得将合同标的进行转包和分包。</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33．履约保证金</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 合同签订前，中标人向采购人交付的履约保证金为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履约保证金必须是人民币。履约保证金应当以支票、汇票、本票或者金融机构、担保机构出具的保函等非现金形式提交。</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34．货物和服务的追加、添购</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34.1 政府采购合同履行中，采购人需追加与合同标的相同的货物和服务的，在不改变合同其他条款的前提下，可以与中标人协商签订补充合同，但所有补充合同的采购金额不超过原合同金额 10 %。</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35．监督</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35.1 政府有关监督部门将对投标全过程进行监督。</w:t>
      </w:r>
      <w:r/>
    </w:p>
    <w:p>
      <w:pPr>
        <w:pStyle w:val="1250"/>
        <w:keepLines w:val="0"/>
        <w:keepNext w:val="0"/>
        <w:pageBreakBefore w:val="0"/>
        <w:spacing w:line="52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544"/>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bookmarkStart w:id="223" w:name="EB0f9f45dd5e234a13a81c333deb906690"/>
      <w:r/>
      <w:bookmarkEnd w:id="223"/>
      <w:r/>
      <w:r/>
    </w:p>
    <w:p>
      <w:pPr>
        <w:pStyle w:val="1246"/>
        <w:keepLines w:val="0"/>
        <w:keepNext w:val="0"/>
        <w:pageBreakBefore w:val="0"/>
        <w:spacing w:before="313" w:after="313" w:line="500" w:lineRule="exact"/>
        <w:widowControl w:val="off"/>
        <w:rPr>
          <w:rFonts w:hint="eastAsia" w:ascii="宋体" w:hAnsi="宋体" w:eastAsia="宋体" w:cs="宋体"/>
          <w:color w:val="000000" w:themeColor="text1"/>
          <w:highlight w:val="none"/>
          <w14:textFill>
            <w14:solidFill>
              <w14:schemeClr w14:val="tx1"/>
            </w14:solidFill>
          </w14:textFill>
        </w:rPr>
      </w:pPr>
      <w:r/>
      <w:bookmarkStart w:id="224" w:name="_Toc28764"/>
      <w:r/>
      <w:bookmarkStart w:id="225" w:name="_Toc38368127"/>
      <w:r/>
      <w:bookmarkStart w:id="226" w:name="_Toc35266027"/>
      <w:r/>
      <w:bookmarkStart w:id="227" w:name="_Toc54615245"/>
      <w:r/>
      <w:bookmarkStart w:id="228" w:name="_Toc14382"/>
      <w:r/>
      <w:bookmarkStart w:id="229" w:name="_Toc31229"/>
      <w:r/>
      <w:bookmarkStart w:id="230" w:name="_Toc2580"/>
      <w:r>
        <w:rPr>
          <w:rFonts w:hint="eastAsia" w:ascii="宋体" w:hAnsi="宋体" w:eastAsia="宋体" w:cs="宋体"/>
          <w:color w:val="000000" w:themeColor="text1"/>
          <w:highlight w:val="none"/>
          <w14:textFill>
            <w14:solidFill>
              <w14:schemeClr w14:val="tx1"/>
            </w14:solidFill>
          </w14:textFill>
        </w:rPr>
        <w:t xml:space="preserve">第三章 合同条款及</w:t>
      </w:r>
      <w:bookmarkEnd w:id="71"/>
      <w:r/>
      <w:bookmarkEnd w:id="72"/>
      <w:r/>
      <w:bookmarkEnd w:id="73"/>
      <w:r/>
      <w:bookmarkEnd w:id="74"/>
      <w:r/>
      <w:bookmarkEnd w:id="75"/>
      <w:r>
        <w:rPr>
          <w:rFonts w:hint="eastAsia" w:ascii="宋体" w:hAnsi="宋体" w:eastAsia="宋体" w:cs="宋体"/>
          <w:color w:val="000000" w:themeColor="text1"/>
          <w:highlight w:val="none"/>
          <w14:textFill>
            <w14:solidFill>
              <w14:schemeClr w14:val="tx1"/>
            </w14:solidFill>
          </w14:textFill>
        </w:rPr>
        <w:t xml:space="preserve">格式</w:t>
      </w:r>
      <w:bookmarkEnd w:id="224"/>
      <w:r/>
      <w:bookmarkEnd w:id="225"/>
      <w:r/>
      <w:bookmarkEnd w:id="226"/>
      <w:r/>
      <w:bookmarkEnd w:id="227"/>
      <w:r/>
      <w:bookmarkEnd w:id="228"/>
      <w:r/>
      <w:bookmarkEnd w:id="229"/>
      <w:r/>
      <w:bookmarkEnd w:id="230"/>
      <w:r/>
      <w:r/>
    </w:p>
    <w:p>
      <w:pPr>
        <w:pStyle w:val="1266"/>
        <w:ind w:firstLine="0"/>
        <w:jc w:val="center"/>
        <w:keepLines w:val="0"/>
        <w:keepNext w:val="0"/>
        <w:pageBreakBefore w:val="0"/>
        <w:spacing w:line="500" w:lineRule="exact"/>
        <w:widowControl w:val="off"/>
        <w:rPr>
          <w:rStyle w:val="1254"/>
          <w:rFonts w:hint="eastAsia" w:ascii="宋体" w:hAnsi="宋体" w:eastAsia="宋体" w:cs="宋体"/>
          <w:bCs/>
          <w:color w:val="000000" w:themeColor="text1"/>
          <w:sz w:val="24"/>
          <w:highlight w:val="none"/>
          <w14:textFill>
            <w14:solidFill>
              <w14:schemeClr w14:val="tx1"/>
            </w14:solidFill>
          </w14:textFill>
        </w:rPr>
      </w:pPr>
      <w:r/>
      <w:bookmarkStart w:id="231" w:name="EB445c3bd035294764b52dfc379b7b9568"/>
      <w:r>
        <w:rPr>
          <w:rStyle w:val="1254"/>
          <w:rFonts w:hint="eastAsia" w:ascii="宋体" w:hAnsi="宋体" w:eastAsia="宋体" w:cs="宋体"/>
          <w:bCs/>
          <w:color w:val="000000" w:themeColor="text1"/>
          <w:sz w:val="24"/>
          <w:highlight w:val="none"/>
          <w14:textFill>
            <w14:solidFill>
              <w14:schemeClr w14:val="tx1"/>
            </w14:solidFill>
          </w14:textFill>
        </w:rPr>
        <w:t xml:space="preserve">以下为中标(成交)后签定本项目合同的通用条款，中标(成交)供应商不得提出实质性的修改。</w:t>
      </w:r>
      <w:r/>
    </w:p>
    <w:p>
      <w:pPr>
        <w:pStyle w:val="1266"/>
        <w:ind w:firstLine="0"/>
        <w:jc w:val="center"/>
        <w:keepLines w:val="0"/>
        <w:keepNext w:val="0"/>
        <w:pageBreakBefore w:val="0"/>
        <w:spacing w:before="181" w:after="181" w:line="500" w:lineRule="exact"/>
        <w:widowControl w:val="off"/>
        <w:rPr>
          <w:rStyle w:val="1254"/>
          <w:rFonts w:hint="eastAsia" w:ascii="宋体" w:hAnsi="宋体" w:eastAsia="宋体" w:cs="宋体"/>
          <w:b/>
          <w:bCs w:val="0"/>
          <w:color w:val="000000" w:themeColor="text1"/>
          <w:sz w:val="32"/>
          <w:szCs w:val="32"/>
          <w:highlight w:val="none"/>
          <w14:textFill>
            <w14:solidFill>
              <w14:schemeClr w14:val="tx1"/>
            </w14:solidFill>
          </w14:textFill>
        </w:rPr>
      </w:pPr>
      <w:r/>
      <w:bookmarkStart w:id="232" w:name="_Toc11967"/>
      <w:r/>
      <w:bookmarkStart w:id="233" w:name="_Toc11920"/>
      <w:r/>
      <w:bookmarkStart w:id="234" w:name="_Toc242"/>
      <w:r>
        <w:rPr>
          <w:rStyle w:val="1254"/>
          <w:rFonts w:hint="eastAsia" w:ascii="宋体" w:hAnsi="宋体" w:eastAsia="宋体" w:cs="宋体"/>
          <w:b/>
          <w:bCs w:val="0"/>
          <w:color w:val="000000" w:themeColor="text1"/>
          <w:sz w:val="32"/>
          <w:szCs w:val="32"/>
          <w:highlight w:val="none"/>
          <w14:textFill>
            <w14:solidFill>
              <w14:schemeClr w14:val="tx1"/>
            </w14:solidFill>
          </w14:textFill>
        </w:rPr>
        <w:t xml:space="preserve">张家港市政府采购合同</w:t>
      </w:r>
      <w:bookmarkEnd w:id="232"/>
      <w:r/>
      <w:bookmarkEnd w:id="233"/>
      <w:r/>
      <w:bookmarkEnd w:id="234"/>
      <w:r/>
      <w:r/>
    </w:p>
    <w:p>
      <w:pPr>
        <w:pStyle w:val="1266"/>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项目名称：</w:t>
      </w:r>
      <w:bookmarkStart w:id="235" w:name="biaoduanname_1"/>
      <w:r/>
      <w:bookmarkEnd w:id="235"/>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266"/>
        <w:keepLines w:val="0"/>
        <w:keepNext w:val="0"/>
        <w:pageBreakBefore w:val="0"/>
        <w:spacing w:line="500" w:lineRule="exact"/>
        <w:widowControl w:val="off"/>
        <w:rPr>
          <w:rStyle w:val="1254"/>
          <w:rFonts w:hint="eastAsia" w:ascii="宋体" w:hAnsi="宋体" w:eastAsia="宋体" w:cs="宋体"/>
          <w:color w:val="000000" w:themeColor="text1"/>
          <w:sz w:val="24"/>
          <w:highlight w:val="none"/>
          <w:u w:val="singl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项目编号：</w:t>
      </w:r>
      <w:bookmarkStart w:id="236" w:name="projectno"/>
      <w:r/>
      <w:bookmarkEnd w:id="236"/>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266"/>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甲方：（买方）</w:t>
      </w:r>
      <w:bookmarkStart w:id="237" w:name="jianshedanwei_1"/>
      <w:r/>
      <w:bookmarkEnd w:id="237"/>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266"/>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乙方：（卖方）</w:t>
      </w:r>
      <w:bookmarkStart w:id="238" w:name="zhongbiaodanweiname_1"/>
      <w:r/>
      <w:bookmarkEnd w:id="238"/>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266"/>
        <w:ind w:firstLine="480"/>
        <w:keepLines w:val="0"/>
        <w:keepNext w:val="0"/>
        <w:pageBreakBefore w:val="0"/>
        <w:spacing w:line="500" w:lineRule="exact"/>
        <w:widowControl w:val="off"/>
        <w:rPr>
          <w:rStyle w:val="1254"/>
          <w:rFonts w:hint="eastAsia" w:ascii="宋体" w:hAnsi="宋体" w:eastAsia="宋体" w:cs="宋体"/>
          <w:b/>
          <w:bCs/>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甲、乙双方根据</w:t>
      </w:r>
      <w:bookmarkStart w:id="239" w:name="EBdfedbe8ad66f4d4f87edd13341207451"/>
      <w:r>
        <w:rPr>
          <w:rStyle w:val="1254"/>
          <w:rFonts w:hint="eastAsia" w:ascii="宋体" w:hAnsi="宋体" w:eastAsia="宋体" w:cs="宋体"/>
          <w:color w:val="000000" w:themeColor="text1"/>
          <w:sz w:val="24"/>
          <w:highlight w:val="none"/>
          <w14:textFill>
            <w14:solidFill>
              <w14:schemeClr w14:val="tx1"/>
            </w14:solidFill>
          </w14:textFill>
        </w:rPr>
        <w:t xml:space="preserve">苏州政合信咨询管理服务有限公司</w:t>
      </w:r>
      <w:bookmarkEnd w:id="239"/>
      <w:r/>
      <w:bookmarkStart w:id="240" w:name="biaoduanname_2"/>
      <w:r/>
      <w:bookmarkEnd w:id="240"/>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项目公开招标的结果，签署本合同。</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41" w:name="_Toc23049"/>
      <w:r>
        <w:rPr>
          <w:rFonts w:hint="eastAsia" w:ascii="宋体" w:hAnsi="宋体" w:eastAsia="宋体" w:cs="宋体"/>
          <w:b/>
          <w:color w:val="000000" w:themeColor="text1"/>
          <w:sz w:val="28"/>
          <w:szCs w:val="28"/>
          <w:highlight w:val="none"/>
          <w14:textFill>
            <w14:solidFill>
              <w14:schemeClr w14:val="tx1"/>
            </w14:solidFill>
          </w14:textFill>
        </w:rPr>
        <w:t xml:space="preserve">一、服务内容</w:t>
      </w:r>
      <w:bookmarkEnd w:id="241"/>
      <w:r/>
      <w:r/>
    </w:p>
    <w:tbl>
      <w:tblPr>
        <w:tblStyle w:val="1066"/>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4"/>
        <w:gridCol w:w="3374"/>
        <w:gridCol w:w="3068"/>
      </w:tblGrid>
      <w:tr>
        <w:trPr>
          <w:cantSplit/>
          <w:jc w:val="center"/>
          <w:trHeight w:val="567"/>
        </w:trPr>
        <w:tc>
          <w:tcPr>
            <w:tcW w:w="3304" w:type="dxa"/>
            <w:vAlign w:val="center"/>
            <w:textDirection w:val="lrTb"/>
            <w:noWrap/>
          </w:tcPr>
          <w:p>
            <w:pPr>
              <w:pStyle w:val="1266"/>
              <w:ind w:firstLine="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3374" w:type="dxa"/>
            <w:vAlign w:val="center"/>
            <w:textDirection w:val="lrTb"/>
            <w:noWrap/>
          </w:tcPr>
          <w:p>
            <w:pPr>
              <w:pStyle w:val="1266"/>
              <w:ind w:firstLine="48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pacing w:val="0"/>
                <w:sz w:val="24"/>
                <w:highlight w:val="none"/>
                <w14:textFill>
                  <w14:solidFill>
                    <w14:schemeClr w14:val="tx1"/>
                  </w14:solidFill>
                </w14:textFill>
              </w:rPr>
              <w:t xml:space="preserve">总价（元）</w:t>
            </w:r>
            <w:r/>
          </w:p>
        </w:tc>
        <w:tc>
          <w:tcPr>
            <w:tcW w:w="3068" w:type="dxa"/>
            <w:vAlign w:val="center"/>
            <w:textDirection w:val="lrTb"/>
            <w:noWrap/>
          </w:tcPr>
          <w:p>
            <w:pPr>
              <w:pStyle w:val="1266"/>
              <w:ind w:firstLine="24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服务内容</w:t>
            </w:r>
            <w:r/>
          </w:p>
        </w:tc>
      </w:tr>
      <w:tr>
        <w:trPr>
          <w:cantSplit/>
          <w:jc w:val="center"/>
          <w:trHeight w:val="567"/>
        </w:trPr>
        <w:tc>
          <w:tcPr>
            <w:tcW w:w="3304" w:type="dxa"/>
            <w:vAlign w:val="center"/>
            <w:textDirection w:val="lrTb"/>
            <w:noWrap/>
          </w:tcPr>
          <w:p>
            <w:pPr>
              <w:pStyle w:val="1266"/>
              <w:ind w:firstLine="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bookmarkStart w:id="242" w:name="biaoduanname_3"/>
            <w:r/>
            <w:bookmarkEnd w:id="242"/>
            <w:r/>
            <w:r/>
          </w:p>
        </w:tc>
        <w:tc>
          <w:tcPr>
            <w:tcW w:w="3374" w:type="dxa"/>
            <w:vAlign w:val="center"/>
            <w:textDirection w:val="lrTb"/>
            <w:noWrap/>
          </w:tcPr>
          <w:p>
            <w:pPr>
              <w:pStyle w:val="1266"/>
              <w:ind w:firstLine="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bookmarkStart w:id="243" w:name="zhongbiaopricelow_1"/>
            <w:r/>
            <w:bookmarkEnd w:id="243"/>
            <w:r/>
            <w:r/>
          </w:p>
        </w:tc>
        <w:tc>
          <w:tcPr>
            <w:tcW w:w="3068" w:type="dxa"/>
            <w:vAlign w:val="center"/>
            <w:textDirection w:val="lrTb"/>
            <w:noWrap/>
          </w:tcPr>
          <w:p>
            <w:pPr>
              <w:pStyle w:val="1266"/>
              <w:ind w:firstLine="0"/>
              <w:jc w:val="center"/>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bookmarkStart w:id="244" w:name="fuwuneirong"/>
            <w:r/>
            <w:bookmarkEnd w:id="244"/>
            <w:r/>
            <w:r/>
          </w:p>
        </w:tc>
      </w:tr>
    </w:tbl>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45" w:name="_Toc29897"/>
      <w:r>
        <w:rPr>
          <w:rFonts w:hint="eastAsia" w:ascii="宋体" w:hAnsi="宋体" w:eastAsia="宋体" w:cs="宋体"/>
          <w:b/>
          <w:color w:val="000000" w:themeColor="text1"/>
          <w:sz w:val="28"/>
          <w:szCs w:val="28"/>
          <w:highlight w:val="none"/>
          <w14:textFill>
            <w14:solidFill>
              <w14:schemeClr w14:val="tx1"/>
            </w14:solidFill>
          </w14:textFill>
        </w:rPr>
        <w:t xml:space="preserve">二、合同金额</w:t>
      </w:r>
      <w:bookmarkEnd w:id="245"/>
      <w:r/>
      <w:r/>
    </w:p>
    <w:p>
      <w:pPr>
        <w:pStyle w:val="1266"/>
        <w:ind w:firstLine="480"/>
        <w:jc w:val="left"/>
        <w:keepLines w:val="0"/>
        <w:keepNext w:val="0"/>
        <w:pageBreakBefore w:val="0"/>
        <w:spacing w:line="500" w:lineRule="exact"/>
        <w:widowControl w:val="off"/>
        <w:rPr>
          <w:rStyle w:val="1254"/>
          <w:rFonts w:hint="eastAsia" w:ascii="宋体" w:hAnsi="宋体" w:eastAsia="宋体" w:cs="宋体"/>
          <w:b/>
          <w:bCs/>
          <w:color w:val="000000" w:themeColor="text1"/>
          <w:spacing w:val="0"/>
          <w:sz w:val="24"/>
          <w:highlight w:val="none"/>
          <w14:textFill>
            <w14:solidFill>
              <w14:schemeClr w14:val="tx1"/>
            </w14:solidFill>
          </w14:textFill>
        </w:rPr>
      </w:pPr>
      <w:r>
        <w:rPr>
          <w:rStyle w:val="1254"/>
          <w:rFonts w:hint="eastAsia" w:ascii="宋体" w:hAnsi="宋体" w:eastAsia="宋体" w:cs="宋体"/>
          <w:color w:val="000000" w:themeColor="text1"/>
          <w:spacing w:val="0"/>
          <w:sz w:val="24"/>
          <w:highlight w:val="none"/>
          <w14:textFill>
            <w14:solidFill>
              <w14:schemeClr w14:val="tx1"/>
            </w14:solidFill>
          </w14:textFill>
        </w:rPr>
        <w:t xml:space="preserve">2.1 本合同金额为（大写）：</w:t>
      </w:r>
      <w:bookmarkStart w:id="246" w:name="zhongbiaopriceup"/>
      <w:r/>
      <w:bookmarkEnd w:id="246"/>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color w:val="000000" w:themeColor="text1"/>
          <w:spacing w:val="0"/>
          <w:sz w:val="24"/>
          <w:highlight w:val="none"/>
          <w14:textFill>
            <w14:solidFill>
              <w14:schemeClr w14:val="tx1"/>
            </w14:solidFill>
          </w14:textFill>
        </w:rPr>
        <w:t xml:space="preserve">（</w:t>
      </w:r>
      <w:bookmarkStart w:id="247" w:name="zhongbiaopricelow_2"/>
      <w:r/>
      <w:bookmarkEnd w:id="247"/>
      <w:r>
        <w:rPr>
          <w:rStyle w:val="1254"/>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color w:val="000000" w:themeColor="text1"/>
          <w:spacing w:val="0"/>
          <w:sz w:val="24"/>
          <w:highlight w:val="none"/>
          <w14:textFill>
            <w14:solidFill>
              <w14:schemeClr w14:val="tx1"/>
            </w14:solidFill>
          </w14:textFill>
        </w:rPr>
        <w:t xml:space="preserve">元）人民币。</w:t>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pacing w:val="0"/>
          <w:sz w:val="24"/>
          <w:highlight w:val="none"/>
          <w14:textFill>
            <w14:solidFill>
              <w14:schemeClr w14:val="tx1"/>
            </w14:solidFill>
          </w14:textFill>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48" w:name="_Toc28372"/>
      <w:r/>
      <w:bookmarkStart w:id="249" w:name="_Toc26003"/>
      <w:r/>
      <w:bookmarkStart w:id="250" w:name="_Toc27782"/>
      <w:r/>
      <w:bookmarkStart w:id="251" w:name="_Toc12963"/>
      <w:r>
        <w:rPr>
          <w:rFonts w:hint="eastAsia" w:ascii="宋体" w:hAnsi="宋体" w:eastAsia="宋体" w:cs="宋体"/>
          <w:b/>
          <w:color w:val="000000" w:themeColor="text1"/>
          <w:sz w:val="28"/>
          <w:szCs w:val="28"/>
          <w:highlight w:val="none"/>
          <w14:textFill>
            <w14:solidFill>
              <w14:schemeClr w14:val="tx1"/>
            </w14:solidFill>
          </w14:textFill>
        </w:rPr>
        <w:t xml:space="preserve">三、</w:t>
      </w:r>
      <w:bookmarkEnd w:id="248"/>
      <w:r/>
      <w:bookmarkEnd w:id="249"/>
      <w:r/>
      <w:bookmarkEnd w:id="250"/>
      <w:r>
        <w:rPr>
          <w:rFonts w:hint="eastAsia" w:ascii="宋体" w:hAnsi="宋体" w:eastAsia="宋体" w:cs="宋体"/>
          <w:b/>
          <w:color w:val="000000" w:themeColor="text1"/>
          <w:sz w:val="28"/>
          <w:szCs w:val="28"/>
          <w:highlight w:val="none"/>
          <w14:textFill>
            <w14:solidFill>
              <w14:schemeClr w14:val="tx1"/>
            </w14:solidFill>
          </w14:textFill>
        </w:rPr>
        <w:t xml:space="preserve">技术资料</w:t>
      </w:r>
      <w:bookmarkEnd w:id="251"/>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3.1 乙方应按招标文件规定的时间向甲方提供服务的有关技术资料。</w:t>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52" w:name="_Toc20080"/>
      <w:r/>
      <w:bookmarkStart w:id="253" w:name="_Toc1934"/>
      <w:r/>
      <w:bookmarkStart w:id="254" w:name="_Toc21968"/>
      <w:r/>
      <w:bookmarkStart w:id="255" w:name="_Toc24157"/>
      <w:r>
        <w:rPr>
          <w:rFonts w:hint="eastAsia" w:ascii="宋体" w:hAnsi="宋体" w:eastAsia="宋体" w:cs="宋体"/>
          <w:b/>
          <w:color w:val="000000" w:themeColor="text1"/>
          <w:sz w:val="28"/>
          <w:szCs w:val="28"/>
          <w:highlight w:val="none"/>
          <w14:textFill>
            <w14:solidFill>
              <w14:schemeClr w14:val="tx1"/>
            </w14:solidFill>
          </w14:textFill>
        </w:rPr>
        <w:t xml:space="preserve">四、知识产权</w:t>
      </w:r>
      <w:bookmarkEnd w:id="252"/>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56" w:name="_Toc15336"/>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8"/>
          <w:szCs w:val="28"/>
          <w:highlight w:val="none"/>
          <w14:textFill>
            <w14:solidFill>
              <w14:schemeClr w14:val="tx1"/>
            </w14:solidFill>
          </w14:textFill>
        </w:rPr>
        <w:t xml:space="preserve">、转包或分包</w:t>
      </w:r>
      <w:bookmarkEnd w:id="253"/>
      <w:r/>
      <w:bookmarkEnd w:id="254"/>
      <w:r/>
      <w:bookmarkEnd w:id="255"/>
      <w:r/>
      <w:bookmarkEnd w:id="256"/>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5</w:t>
      </w:r>
      <w:r>
        <w:rPr>
          <w:rStyle w:val="1254"/>
          <w:rFonts w:hint="eastAsia" w:ascii="宋体" w:hAnsi="宋体" w:eastAsia="宋体" w:cs="宋体"/>
          <w:color w:val="000000" w:themeColor="text1"/>
          <w:sz w:val="24"/>
          <w:highlight w:val="none"/>
          <w14:textFill>
            <w14:solidFill>
              <w14:schemeClr w14:val="tx1"/>
            </w14:solidFill>
          </w14:textFill>
        </w:rPr>
        <w:t xml:space="preserve">.1 本合同范围的服务，应由乙方直接提供，不得转让他人提供；</w:t>
      </w:r>
      <w:r/>
    </w:p>
    <w:p>
      <w:pPr>
        <w:pStyle w:val="1266"/>
        <w:ind w:firstLine="48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5</w:t>
      </w:r>
      <w:r>
        <w:rPr>
          <w:rStyle w:val="1254"/>
          <w:rFonts w:hint="eastAsia" w:ascii="宋体" w:hAnsi="宋体" w:eastAsia="宋体" w:cs="宋体"/>
          <w:color w:val="000000" w:themeColor="text1"/>
          <w:sz w:val="24"/>
          <w:highlight w:val="none"/>
          <w14:textFill>
            <w14:solidFill>
              <w14:schemeClr w14:val="tx1"/>
            </w14:solidFill>
          </w14:textFill>
        </w:rPr>
        <w:t xml:space="preserve">.2 如有转包和分包行为，甲方有权给予终止合同。</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57" w:name="_Toc18624"/>
      <w:r/>
      <w:bookmarkStart w:id="258" w:name="_Toc32090"/>
      <w:r/>
      <w:bookmarkStart w:id="259" w:name="_Toc2386"/>
      <w:r/>
      <w:bookmarkStart w:id="260" w:name="_Toc11800"/>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8"/>
          <w:szCs w:val="28"/>
          <w:highlight w:val="none"/>
          <w14:textFill>
            <w14:solidFill>
              <w14:schemeClr w14:val="tx1"/>
            </w14:solidFill>
          </w14:textFill>
        </w:rPr>
        <w:t xml:space="preserve">、服务期限</w:t>
      </w:r>
      <w:bookmarkEnd w:id="257"/>
      <w:r/>
      <w:bookmarkEnd w:id="258"/>
      <w:r/>
      <w:bookmarkEnd w:id="259"/>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及服务地点</w:t>
      </w:r>
      <w:bookmarkEnd w:id="260"/>
      <w:r/>
      <w:r/>
    </w:p>
    <w:p>
      <w:pPr>
        <w:pStyle w:val="1266"/>
        <w:ind w:firstLine="480"/>
        <w:jc w:val="both"/>
        <w:keepLines w:val="0"/>
        <w:keepNext w:val="0"/>
        <w:pageBreakBefore w:val="0"/>
        <w:spacing w:line="500" w:lineRule="exact"/>
        <w:widowControl w:val="off"/>
        <w:rPr>
          <w:rStyle w:val="1254"/>
          <w:rFonts w:hint="eastAsia" w:ascii="宋体" w:hAnsi="宋体" w:eastAsia="宋体" w:cs="宋体"/>
          <w:bCs/>
          <w:color w:val="000000" w:themeColor="text1"/>
          <w:sz w:val="24"/>
          <w:highlight w:val="none"/>
          <w14:textFill>
            <w14:solidFill>
              <w14:schemeClr w14:val="tx1"/>
            </w14:solidFill>
          </w14:textFill>
        </w:rPr>
      </w:pPr>
      <w:r>
        <w:rPr>
          <w:rStyle w:val="1254"/>
          <w:rFonts w:hint="eastAsia" w:ascii="宋体" w:hAnsi="宋体" w:eastAsia="宋体" w:cs="宋体"/>
          <w:bCs/>
          <w:color w:val="000000" w:themeColor="text1"/>
          <w:sz w:val="24"/>
          <w:highlight w:val="none"/>
          <w:lang w:val="en-US"/>
          <w14:textFill>
            <w14:solidFill>
              <w14:schemeClr w14:val="tx1"/>
            </w14:solidFill>
          </w14:textFill>
        </w:rPr>
        <w:t xml:space="preserve">6</w:t>
      </w:r>
      <w:r>
        <w:rPr>
          <w:rStyle w:val="1254"/>
          <w:rFonts w:hint="eastAsia" w:ascii="宋体" w:hAnsi="宋体" w:eastAsia="宋体" w:cs="宋体"/>
          <w:bCs/>
          <w:color w:val="000000" w:themeColor="text1"/>
          <w:sz w:val="24"/>
          <w:highlight w:val="none"/>
          <w14:textFill>
            <w14:solidFill>
              <w14:schemeClr w14:val="tx1"/>
            </w14:solidFill>
          </w14:textFill>
        </w:rPr>
        <w:t xml:space="preserve">.1 服务期限：</w:t>
      </w:r>
      <w:bookmarkStart w:id="261" w:name="fuwuqixian"/>
      <w:r/>
      <w:bookmarkEnd w:id="261"/>
      <w:r>
        <w:rPr>
          <w:rStyle w:val="1254"/>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cs="宋体"/>
          <w:bCs/>
          <w:caps w:val="0"/>
          <w:smallCaps w:val="0"/>
          <w:color w:val="000000" w:themeColor="text1"/>
          <w:spacing w:val="0"/>
          <w:sz w:val="24"/>
          <w:highlight w:val="none"/>
          <w:u w:val="single"/>
          <w:shd w:val="clear" w:color="auto" w:fill="auto"/>
          <w:lang w:val="en-US"/>
          <w14:textFill>
            <w14:solidFill>
              <w14:schemeClr w14:val="tx1"/>
            </w14:solidFill>
          </w14:textFill>
        </w:rPr>
        <w:t xml:space="preserve">                                              。</w:t>
      </w:r>
      <w:r/>
    </w:p>
    <w:p>
      <w:pPr>
        <w:pStyle w:val="1266"/>
        <w:ind w:firstLine="480"/>
        <w:jc w:val="both"/>
        <w:keepLines w:val="0"/>
        <w:keepNext w:val="0"/>
        <w:pageBreakBefore w:val="0"/>
        <w:spacing w:line="500" w:lineRule="exact"/>
        <w:widowControl w:val="off"/>
        <w:rPr>
          <w:rStyle w:val="1254"/>
          <w:rFonts w:hint="eastAsia" w:ascii="宋体" w:hAnsi="宋体" w:eastAsia="宋体" w:cs="宋体"/>
          <w:bCs/>
          <w:color w:val="000000" w:themeColor="text1"/>
          <w:sz w:val="24"/>
          <w:highlight w:val="none"/>
          <w14:textFill>
            <w14:solidFill>
              <w14:schemeClr w14:val="tx1"/>
            </w14:solidFill>
          </w14:textFill>
        </w:rPr>
      </w:pPr>
      <w:r>
        <w:rPr>
          <w:rStyle w:val="1254"/>
          <w:rFonts w:hint="eastAsia" w:ascii="宋体" w:hAnsi="宋体" w:eastAsia="宋体" w:cs="宋体"/>
          <w:bCs/>
          <w:color w:val="000000" w:themeColor="text1"/>
          <w:sz w:val="24"/>
          <w:highlight w:val="none"/>
          <w:lang w:val="en-US"/>
          <w14:textFill>
            <w14:solidFill>
              <w14:schemeClr w14:val="tx1"/>
            </w14:solidFill>
          </w14:textFill>
        </w:rPr>
        <w:t xml:space="preserve">6</w:t>
      </w:r>
      <w:r>
        <w:rPr>
          <w:rStyle w:val="1254"/>
          <w:rFonts w:hint="eastAsia" w:ascii="宋体" w:hAnsi="宋体" w:eastAsia="宋体" w:cs="宋体"/>
          <w:bCs/>
          <w:color w:val="000000" w:themeColor="text1"/>
          <w:sz w:val="24"/>
          <w:highlight w:val="none"/>
          <w14:textFill>
            <w14:solidFill>
              <w14:schemeClr w14:val="tx1"/>
            </w14:solidFill>
          </w14:textFill>
        </w:rPr>
        <w:t xml:space="preserve">.2 服务</w:t>
      </w:r>
      <w:r>
        <w:rPr>
          <w:rStyle w:val="1254"/>
          <w:rFonts w:hint="eastAsia" w:ascii="宋体" w:hAnsi="宋体" w:eastAsia="宋体" w:cs="宋体"/>
          <w:bCs/>
          <w:color w:val="000000" w:themeColor="text1"/>
          <w:sz w:val="24"/>
          <w:highlight w:val="none"/>
          <w:lang w:val="en-US"/>
          <w14:textFill>
            <w14:solidFill>
              <w14:schemeClr w14:val="tx1"/>
            </w14:solidFill>
          </w14:textFill>
        </w:rPr>
        <w:t xml:space="preserve">地点</w:t>
      </w:r>
      <w:r>
        <w:rPr>
          <w:rStyle w:val="1254"/>
          <w:rFonts w:hint="eastAsia" w:ascii="宋体" w:hAnsi="宋体" w:eastAsia="宋体" w:cs="宋体"/>
          <w:bCs/>
          <w:color w:val="000000" w:themeColor="text1"/>
          <w:sz w:val="24"/>
          <w:highlight w:val="none"/>
          <w14:textFill>
            <w14:solidFill>
              <w14:schemeClr w14:val="tx1"/>
            </w14:solidFill>
          </w14:textFill>
        </w:rPr>
        <w:t xml:space="preserve">：</w:t>
      </w:r>
      <w:r>
        <w:rPr>
          <w:rStyle w:val="1254"/>
          <w:rFonts w:hint="eastAsia" w:ascii="宋体" w:hAnsi="宋体" w:eastAsia="宋体" w:cs="宋体"/>
          <w:bCs/>
          <w:i w:val="0"/>
          <w:iCs w:val="0"/>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cs="宋体"/>
          <w:bCs/>
          <w:i w:val="0"/>
          <w:iCs w:val="0"/>
          <w:caps w:val="0"/>
          <w:smallCaps w:val="0"/>
          <w:color w:val="000000" w:themeColor="text1"/>
          <w:spacing w:val="0"/>
          <w:sz w:val="24"/>
          <w:highlight w:val="none"/>
          <w:u w:val="single"/>
          <w:shd w:val="clear" w:color="auto" w:fill="auto"/>
          <w:lang w:val="en-US"/>
          <w14:textFill>
            <w14:solidFill>
              <w14:schemeClr w14:val="tx1"/>
            </w14:solidFill>
          </w14:textFill>
        </w:rPr>
        <w:t xml:space="preserve">                                             </w:t>
      </w:r>
      <w:r>
        <w:rPr>
          <w:rStyle w:val="1254"/>
          <w:rFonts w:hint="eastAsia" w:ascii="宋体" w:hAnsi="宋体" w:eastAsia="宋体" w:cs="宋体"/>
          <w:bCs/>
          <w:i w:val="0"/>
          <w:iCs w:val="0"/>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cs="宋体"/>
          <w:bCs/>
          <w:i w:val="0"/>
          <w:iCs w:val="0"/>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62" w:name="_Toc23352"/>
      <w:r/>
      <w:bookmarkStart w:id="263" w:name="_Toc27764"/>
      <w:r/>
      <w:bookmarkStart w:id="264" w:name="_Toc15021"/>
      <w:r/>
      <w:bookmarkStart w:id="265" w:name="_Toc2872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8"/>
          <w:szCs w:val="28"/>
          <w:highlight w:val="none"/>
          <w14:textFill>
            <w14:solidFill>
              <w14:schemeClr w14:val="tx1"/>
            </w14:solidFill>
          </w14:textFill>
        </w:rPr>
        <w:t xml:space="preserve">、</w:t>
      </w:r>
      <w:bookmarkEnd w:id="262"/>
      <w:r/>
      <w:bookmarkEnd w:id="263"/>
      <w:r/>
      <w:bookmarkEnd w:id="264"/>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支付方式</w:t>
      </w:r>
      <w:bookmarkEnd w:id="265"/>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pacing w:val="0"/>
          <w:sz w:val="24"/>
          <w:highlight w:val="none"/>
          <w14:textFill>
            <w14:solidFill>
              <w14:schemeClr w14:val="tx1"/>
            </w14:solidFill>
          </w14:textFill>
        </w:rPr>
      </w:pPr>
      <w:r>
        <w:rPr>
          <w:rStyle w:val="1254"/>
          <w:rFonts w:hint="eastAsia" w:ascii="宋体" w:hAnsi="宋体" w:eastAsia="宋体" w:cs="宋体"/>
          <w:bCs/>
          <w:color w:val="000000" w:themeColor="text1"/>
          <w:spacing w:val="0"/>
          <w:sz w:val="24"/>
          <w:highlight w:val="none"/>
          <w:lang w:val="en-US"/>
          <w14:textFill>
            <w14:solidFill>
              <w14:schemeClr w14:val="tx1"/>
            </w14:solidFill>
          </w14:textFill>
        </w:rPr>
        <w:t xml:space="preserve">7</w:t>
      </w:r>
      <w:r>
        <w:rPr>
          <w:rStyle w:val="1254"/>
          <w:rFonts w:hint="eastAsia" w:ascii="宋体" w:hAnsi="宋体" w:eastAsia="宋体" w:cs="宋体"/>
          <w:bCs/>
          <w:color w:val="000000" w:themeColor="text1"/>
          <w:spacing w:val="0"/>
          <w:sz w:val="24"/>
          <w:highlight w:val="none"/>
          <w14:textFill>
            <w14:solidFill>
              <w14:schemeClr w14:val="tx1"/>
            </w14:solidFill>
          </w14:textFill>
        </w:rPr>
        <w:t xml:space="preserve">.1 </w:t>
      </w:r>
      <w:r>
        <w:rPr>
          <w:rStyle w:val="1254"/>
          <w:rFonts w:hint="eastAsia" w:ascii="宋体" w:hAnsi="宋体" w:eastAsia="宋体" w:cs="宋体"/>
          <w:color w:val="000000" w:themeColor="text1"/>
          <w:spacing w:val="0"/>
          <w:sz w:val="24"/>
          <w:highlight w:val="none"/>
          <w14:textFill>
            <w14:solidFill>
              <w14:schemeClr w14:val="tx1"/>
            </w14:solidFill>
          </w14:textFill>
        </w:rPr>
        <w:t xml:space="preserve">结付程序：</w:t>
      </w:r>
      <w:bookmarkStart w:id="266" w:name="jiefuchengxu"/>
      <w:r/>
      <w:bookmarkEnd w:id="266"/>
      <w:r>
        <w:rPr>
          <w:rStyle w:val="1254"/>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266"/>
        <w:ind w:firstLine="480"/>
        <w:keepLines w:val="0"/>
        <w:keepNext w:val="0"/>
        <w:pageBreakBefore w:val="0"/>
        <w:spacing w:line="500" w:lineRule="exact"/>
        <w:widowControl w:val="off"/>
        <w:rPr>
          <w:rStyle w:val="1254"/>
          <w:rFonts w:hint="eastAsia" w:ascii="宋体" w:hAnsi="宋体" w:eastAsia="宋体" w:cs="宋体"/>
          <w:bCs/>
          <w:color w:val="000000" w:themeColor="text1"/>
          <w:spacing w:val="0"/>
          <w:sz w:val="24"/>
          <w:highlight w:val="none"/>
          <w14:textFill>
            <w14:solidFill>
              <w14:schemeClr w14:val="tx1"/>
            </w14:solidFill>
          </w14:textFill>
        </w:rPr>
      </w:pPr>
      <w:r>
        <w:rPr>
          <w:rStyle w:val="1254"/>
          <w:rFonts w:hint="eastAsia" w:ascii="宋体" w:hAnsi="宋体" w:eastAsia="宋体" w:cs="宋体"/>
          <w:color w:val="000000" w:themeColor="text1"/>
          <w:spacing w:val="0"/>
          <w:sz w:val="24"/>
          <w:highlight w:val="none"/>
          <w:lang w:val="en-US"/>
          <w14:textFill>
            <w14:solidFill>
              <w14:schemeClr w14:val="tx1"/>
            </w14:solidFill>
          </w14:textFill>
        </w:rPr>
        <w:t xml:space="preserve">7</w:t>
      </w:r>
      <w:r>
        <w:rPr>
          <w:rStyle w:val="1254"/>
          <w:rFonts w:hint="eastAsia" w:ascii="宋体" w:hAnsi="宋体" w:eastAsia="宋体" w:cs="宋体"/>
          <w:color w:val="000000" w:themeColor="text1"/>
          <w:spacing w:val="0"/>
          <w:sz w:val="24"/>
          <w:highlight w:val="none"/>
          <w14:textFill>
            <w14:solidFill>
              <w14:schemeClr w14:val="tx1"/>
            </w14:solidFill>
          </w14:textFill>
        </w:rPr>
        <w:t xml:space="preserve">.2</w:t>
      </w:r>
      <w:r>
        <w:rPr>
          <w:rStyle w:val="1254"/>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254"/>
          <w:rFonts w:hint="eastAsia" w:ascii="宋体" w:hAnsi="宋体" w:eastAsia="宋体" w:cs="宋体"/>
          <w:color w:val="000000" w:themeColor="text1"/>
          <w:spacing w:val="0"/>
          <w:sz w:val="24"/>
          <w:highlight w:val="none"/>
          <w14:textFill>
            <w14:solidFill>
              <w14:schemeClr w14:val="tx1"/>
            </w14:solidFill>
          </w14:textFill>
        </w:rPr>
        <w:t xml:space="preserve">结付期限：</w:t>
      </w:r>
      <w:bookmarkStart w:id="267" w:name="jiefuqixian"/>
      <w:r/>
      <w:bookmarkEnd w:id="267"/>
      <w:r>
        <w:rPr>
          <w:rStyle w:val="1254"/>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266"/>
        <w:ind w:firstLine="470"/>
        <w:jc w:val="both"/>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7</w:t>
      </w:r>
      <w:r>
        <w:rPr>
          <w:rStyle w:val="1254"/>
          <w:rFonts w:hint="eastAsia" w:ascii="宋体" w:hAnsi="宋体" w:eastAsia="宋体" w:cs="宋体"/>
          <w:color w:val="000000" w:themeColor="text1"/>
          <w:sz w:val="24"/>
          <w:highlight w:val="none"/>
          <w14:textFill>
            <w14:solidFill>
              <w14:schemeClr w14:val="tx1"/>
            </w14:solidFill>
          </w14:textFill>
        </w:rPr>
        <w:t xml:space="preserve">.3</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乙方收款账户：</w:t>
      </w:r>
      <w:bookmarkStart w:id="268" w:name="yifangzhanghao"/>
      <w:r/>
      <w:bookmarkEnd w:id="268"/>
      <w:r>
        <w:rPr>
          <w:rStyle w:val="1254"/>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w:t>
      </w:r>
      <w:r/>
    </w:p>
    <w:p>
      <w:pPr>
        <w:pStyle w:val="1267"/>
        <w:jc w:val="both"/>
        <w:keepLines w:val="0"/>
        <w:keepNext w:val="0"/>
        <w:pageBreakBefore w:val="0"/>
        <w:spacing w:line="500" w:lineRule="exact"/>
        <w:widowControl w:val="off"/>
        <w:rPr>
          <w:rStyle w:val="1254"/>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7</w:t>
      </w:r>
      <w:r>
        <w:rPr>
          <w:rStyle w:val="1254"/>
          <w:rFonts w:hint="eastAsia" w:ascii="宋体" w:hAnsi="宋体" w:eastAsia="宋体" w:cs="宋体"/>
          <w:color w:val="000000" w:themeColor="text1"/>
          <w:sz w:val="24"/>
          <w:highlight w:val="none"/>
          <w14:textFill>
            <w14:solidFill>
              <w14:schemeClr w14:val="tx1"/>
            </w14:solidFill>
          </w14:textFill>
        </w:rPr>
        <w:t xml:space="preserve">.4</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甲方</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合同款支付方式：</w:t>
      </w:r>
      <w:bookmarkStart w:id="269" w:name="hetongzhifutype"/>
      <w:r/>
      <w:bookmarkEnd w:id="269"/>
      <w:r>
        <w:rPr>
          <w:rStyle w:val="1254"/>
          <w:rFonts w:hint="eastAsia" w:ascii="宋体" w:hAnsi="宋体" w:eastAsia="宋体" w:cs="宋体"/>
          <w:bCs/>
          <w:caps w:val="0"/>
          <w:smallCaps w:val="0"/>
          <w:color w:val="000000" w:themeColor="text1"/>
          <w:spacing w:val="0"/>
          <w:sz w:val="24"/>
          <w:szCs w:val="24"/>
          <w:highlight w:val="none"/>
          <w:u w:val="single"/>
          <w:shd w:val="clear" w:color="auto" w:fill="auto"/>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bCs/>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（若乙方为中小企业，不得强制其接受非现金支付方式）。</w:t>
      </w:r>
      <w:r/>
    </w:p>
    <w:p>
      <w:pPr>
        <w:jc w:val="both"/>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70" w:name="_Toc30997"/>
      <w:r/>
      <w:bookmarkStart w:id="271" w:name="_Toc20688"/>
      <w:r/>
      <w:bookmarkStart w:id="272" w:name="_Toc9918"/>
      <w:r/>
      <w:bookmarkStart w:id="273" w:name="_Toc18073"/>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8"/>
          <w:szCs w:val="28"/>
          <w:highlight w:val="none"/>
          <w14:textFill>
            <w14:solidFill>
              <w14:schemeClr w14:val="tx1"/>
            </w14:solidFill>
          </w14:textFill>
        </w:rPr>
        <w:t xml:space="preserve">、税</w:t>
      </w:r>
      <w:bookmarkEnd w:id="270"/>
      <w:r/>
      <w:bookmarkEnd w:id="271"/>
      <w:r/>
      <w:bookmarkEnd w:id="272"/>
      <w:r/>
      <w:bookmarkEnd w:id="273"/>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8</w:t>
      </w:r>
      <w:r>
        <w:rPr>
          <w:rStyle w:val="1254"/>
          <w:rFonts w:hint="eastAsia" w:ascii="宋体" w:hAnsi="宋体" w:eastAsia="宋体" w:cs="宋体"/>
          <w:color w:val="000000" w:themeColor="text1"/>
          <w:sz w:val="24"/>
          <w:highlight w:val="none"/>
          <w14:textFill>
            <w14:solidFill>
              <w14:schemeClr w14:val="tx1"/>
            </w14:solidFill>
          </w14:textFill>
        </w:rPr>
        <w:t xml:space="preserve">.1 本合同执行中相关的一切税费均由乙方负担。</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74" w:name="_Toc22886"/>
      <w:r/>
      <w:bookmarkStart w:id="275" w:name="_Toc9796"/>
      <w:r/>
      <w:bookmarkStart w:id="276" w:name="_Toc31034"/>
      <w:r/>
      <w:bookmarkStart w:id="277" w:name="_Toc2400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8"/>
          <w:szCs w:val="28"/>
          <w:highlight w:val="none"/>
          <w14:textFill>
            <w14:solidFill>
              <w14:schemeClr w14:val="tx1"/>
            </w14:solidFill>
          </w14:textFill>
        </w:rPr>
        <w:t xml:space="preserve">、管理事项</w:t>
      </w:r>
      <w:bookmarkEnd w:id="274"/>
      <w:r/>
      <w:bookmarkEnd w:id="275"/>
      <w:r/>
      <w:bookmarkEnd w:id="276"/>
      <w:r/>
      <w:bookmarkEnd w:id="277"/>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9</w:t>
      </w:r>
      <w:r>
        <w:rPr>
          <w:rStyle w:val="1254"/>
          <w:rFonts w:hint="eastAsia" w:ascii="宋体" w:hAnsi="宋体" w:eastAsia="宋体" w:cs="宋体"/>
          <w:color w:val="000000" w:themeColor="text1"/>
          <w:sz w:val="24"/>
          <w:highlight w:val="none"/>
          <w14:textFill>
            <w14:solidFill>
              <w14:schemeClr w14:val="tx1"/>
            </w14:solidFill>
          </w14:textFill>
        </w:rPr>
        <w:t xml:space="preserve">.1 按招标内容要求以及响应单位的承诺项目阐述。</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78" w:name="_Toc7595"/>
      <w:r/>
      <w:bookmarkStart w:id="279" w:name="_Toc23548"/>
      <w:r/>
      <w:bookmarkStart w:id="280" w:name="_Toc6073"/>
      <w:r/>
      <w:bookmarkStart w:id="281" w:name="_Toc5187"/>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8"/>
          <w:szCs w:val="28"/>
          <w:highlight w:val="none"/>
          <w14:textFill>
            <w14:solidFill>
              <w14:schemeClr w14:val="tx1"/>
            </w14:solidFill>
          </w14:textFill>
        </w:rPr>
        <w:t xml:space="preserve">、双方权利义务</w:t>
      </w:r>
      <w:bookmarkEnd w:id="278"/>
      <w:r/>
      <w:bookmarkEnd w:id="279"/>
      <w:r/>
      <w:bookmarkEnd w:id="280"/>
      <w:r/>
      <w:bookmarkEnd w:id="281"/>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10.1 甲方的权利和义务</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(1)甲方制定的委托乙方承担的项目管理内容。（详见项目需求）</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(2)检查监督乙方管理工作的实施及制度的执行情况，并进行考核。</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(3)审定乙方提出的项目管理计划。</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(4)协调处理本合同生效前发生的管理遗留问题。</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(5)协助乙方做好项目管理工作的宣传教育。</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(6)乙方有违约行为的，甲方有权解除合同并没收履约保证金及向乙方支付实际合同期内扣除考核扣款后的全部余款。</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(7)甲方有权对中标后再转包或分包的乙方终止承包合同。</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(8)甲方有权在服务期内根据实际情况提出修改考核细则，并经与乙方协商确认后，按新的考核细则执行考核。</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10.2 乙方的权利和义务</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(1)根据有关法律、法规及本合同的约定，制订项目管理制度。</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(2)按合同约定，履行项目管理职责。</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(3)负责编制项目管理年度管理计划。</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(4)工作人员统一着装，并作好相关劳动安全防护工作，严格遵守各项管理规定。</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(5)如遇张家港市的各项重要活动、参观接待时，乙方应及时组织人员到位，完成各项突击任务。</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(6)乙方必须规范用工，签订用工合同。</w:t>
      </w:r>
      <w:r/>
    </w:p>
    <w:p>
      <w:pPr>
        <w:ind w:firstLine="480"/>
        <w:jc w:val="both"/>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82" w:name="_Toc12090"/>
      <w:r/>
      <w:bookmarkStart w:id="283" w:name="_Toc407"/>
      <w:r/>
      <w:bookmarkStart w:id="284" w:name="_Toc10339"/>
      <w:r/>
      <w:bookmarkStart w:id="285" w:name="_Toc30348"/>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szCs w:val="28"/>
          <w:highlight w:val="none"/>
          <w14:textFill>
            <w14:solidFill>
              <w14:schemeClr w14:val="tx1"/>
            </w14:solidFill>
          </w14:textFill>
        </w:rPr>
        <w:t xml:space="preserve">、服务质量</w:t>
      </w:r>
      <w:bookmarkEnd w:id="282"/>
      <w:r/>
      <w:bookmarkEnd w:id="283"/>
      <w:r/>
      <w:bookmarkEnd w:id="284"/>
      <w:r/>
      <w:bookmarkEnd w:id="285"/>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1</w:t>
      </w:r>
      <w:r>
        <w:rPr>
          <w:rStyle w:val="1254"/>
          <w:rFonts w:hint="eastAsia" w:ascii="宋体" w:hAnsi="宋体" w:eastAsia="宋体" w:cs="宋体"/>
          <w:color w:val="000000" w:themeColor="text1"/>
          <w:sz w:val="24"/>
          <w:highlight w:val="none"/>
          <w14:textFill>
            <w14:solidFill>
              <w14:schemeClr w14:val="tx1"/>
            </w14:solidFill>
          </w14:textFill>
        </w:rPr>
        <w:t xml:space="preserve">.1 乙方提供的管理服务应达到投标文件所约定的目标。对达标的理解有异议的，由双方共同认可的第三方予以评定。</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86" w:name="_Toc3641"/>
      <w:r/>
      <w:bookmarkStart w:id="287" w:name="_Toc16548"/>
      <w:r/>
      <w:bookmarkStart w:id="288" w:name="_Toc11282"/>
      <w:r/>
      <w:bookmarkStart w:id="289" w:name="_Toc13557"/>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8"/>
          <w:szCs w:val="28"/>
          <w:highlight w:val="none"/>
          <w14:textFill>
            <w14:solidFill>
              <w14:schemeClr w14:val="tx1"/>
            </w14:solidFill>
          </w14:textFill>
        </w:rPr>
        <w:t xml:space="preserve">、违约责任</w:t>
      </w:r>
      <w:bookmarkEnd w:id="286"/>
      <w:r/>
      <w:bookmarkEnd w:id="287"/>
      <w:r/>
      <w:bookmarkEnd w:id="288"/>
      <w:r/>
      <w:bookmarkEnd w:id="289"/>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甲方违反合同的约定，使乙方未完成规定管理目标，乙方有权要求甲方在一定期限内解决，逾期未解决的，乙方有权终止合同，造成乙方经济损失的，甲方给予乙方经济赔偿。</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.2</w:t>
      </w:r>
      <w:r>
        <w:rPr>
          <w:rStyle w:val="1254"/>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甲方逾期办理合同款支付的</w:t>
      </w:r>
      <w:r>
        <w:rPr>
          <w:rStyle w:val="1254"/>
          <w:rFonts w:hint="eastAsia" w:ascii="宋体" w:hAnsi="宋体" w:eastAsia="宋体" w:cs="宋体"/>
          <w:color w:val="000000" w:themeColor="text1"/>
          <w:sz w:val="24"/>
          <w:highlight w:val="none"/>
          <w:lang w:eastAsia="zh-CN"/>
          <w14:textFill>
            <w14:solidFill>
              <w14:schemeClr w14:val="tx1"/>
            </w14:solidFill>
          </w14:textFill>
        </w:rPr>
        <w:t xml:space="preserve">，</w:t>
      </w:r>
      <w:r>
        <w:rPr>
          <w:rStyle w:val="1254"/>
          <w:rFonts w:hint="eastAsia" w:ascii="宋体" w:hAnsi="宋体" w:eastAsia="宋体" w:cs="宋体"/>
          <w:color w:val="000000" w:themeColor="text1"/>
          <w:sz w:val="24"/>
          <w:highlight w:val="none"/>
          <w14:textFill>
            <w14:solidFill>
              <w14:schemeClr w14:val="tx1"/>
            </w14:solidFill>
          </w14:textFill>
        </w:rPr>
        <w:t xml:space="preserve">应当支付逾期利息，且逾期利息的利率不得低于合同订立时1年期贷款市场报价利率。</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.3</w:t>
      </w:r>
      <w:r>
        <w:rPr>
          <w:rStyle w:val="1254"/>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乙方违反合同的约定，未能达到约定的管理目标，甲方有权要求乙方限期整改，逾期未整改的，甲方有权终止合同，造成甲方经济损失的，乙方给予甲方赔偿。</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90" w:name="_Toc12774"/>
      <w:r/>
      <w:bookmarkStart w:id="291" w:name="_Toc30251"/>
      <w:r/>
      <w:bookmarkStart w:id="292" w:name="_Toc9688"/>
      <w:r/>
      <w:bookmarkStart w:id="293" w:name="_Toc15058"/>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14:textFill>
            <w14:solidFill>
              <w14:schemeClr w14:val="tx1"/>
            </w14:solidFill>
          </w14:textFill>
        </w:rPr>
        <w:t xml:space="preserve">、不可抗力事件处理</w:t>
      </w:r>
      <w:bookmarkEnd w:id="290"/>
      <w:r/>
      <w:bookmarkEnd w:id="291"/>
      <w:r/>
      <w:bookmarkEnd w:id="292"/>
      <w:r/>
      <w:bookmarkEnd w:id="293"/>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highlight w:val="none"/>
          <w14:textFill>
            <w14:solidFill>
              <w14:schemeClr w14:val="tx1"/>
            </w14:solidFill>
          </w14:textFill>
        </w:rPr>
        <w:t xml:space="preserve">.2 不可抗力事件发生后，应立即通知对方，并寄送有关权威机构出具的证明。</w:t>
      </w:r>
      <w:r/>
    </w:p>
    <w:p>
      <w:pPr>
        <w:pStyle w:val="1266"/>
        <w:ind w:firstLine="47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highlight w:val="none"/>
          <w14:textFill>
            <w14:solidFill>
              <w14:schemeClr w14:val="tx1"/>
            </w14:solidFill>
          </w14:textFill>
        </w:rPr>
        <w:t xml:space="preserve">.3 不可抗力事件延续120天以上，双方应通过友好协商，确定是否继续履行合同。</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94" w:name="_Toc22734"/>
      <w:r/>
      <w:bookmarkStart w:id="295" w:name="_Toc27127"/>
      <w:r/>
      <w:bookmarkStart w:id="296" w:name="_Toc31496"/>
      <w:r/>
      <w:bookmarkStart w:id="297" w:name="_Toc5724"/>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8"/>
          <w:szCs w:val="28"/>
          <w:highlight w:val="none"/>
          <w14:textFill>
            <w14:solidFill>
              <w14:schemeClr w14:val="tx1"/>
            </w14:solidFill>
          </w14:textFill>
        </w:rPr>
        <w:t xml:space="preserve">、诉讼</w:t>
      </w:r>
      <w:bookmarkEnd w:id="294"/>
      <w:r/>
      <w:bookmarkEnd w:id="295"/>
      <w:r/>
      <w:bookmarkEnd w:id="296"/>
      <w:r/>
      <w:bookmarkEnd w:id="297"/>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4</w:t>
      </w:r>
      <w:r>
        <w:rPr>
          <w:rStyle w:val="1254"/>
          <w:rFonts w:hint="eastAsia" w:ascii="宋体" w:hAnsi="宋体" w:eastAsia="宋体" w:cs="宋体"/>
          <w:color w:val="000000" w:themeColor="text1"/>
          <w:sz w:val="24"/>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98" w:name="_Toc29312"/>
      <w:r/>
      <w:bookmarkStart w:id="299" w:name="_Toc30828"/>
      <w:r/>
      <w:bookmarkStart w:id="300" w:name="_Toc134"/>
      <w:r/>
      <w:bookmarkStart w:id="301" w:name="_Toc16222"/>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8"/>
          <w:szCs w:val="28"/>
          <w:highlight w:val="none"/>
          <w14:textFill>
            <w14:solidFill>
              <w14:schemeClr w14:val="tx1"/>
            </w14:solidFill>
          </w14:textFill>
        </w:rPr>
        <w:t xml:space="preserve">、合同其他文件</w:t>
      </w:r>
      <w:bookmarkEnd w:id="298"/>
      <w:r/>
      <w:bookmarkEnd w:id="299"/>
      <w:r/>
      <w:bookmarkEnd w:id="300"/>
      <w:r/>
      <w:bookmarkEnd w:id="301"/>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5</w:t>
      </w:r>
      <w:r>
        <w:rPr>
          <w:rStyle w:val="1254"/>
          <w:rFonts w:hint="eastAsia" w:ascii="宋体" w:hAnsi="宋体" w:eastAsia="宋体" w:cs="宋体"/>
          <w:color w:val="000000" w:themeColor="text1"/>
          <w:sz w:val="24"/>
          <w:highlight w:val="none"/>
          <w14:textFill>
            <w14:solidFill>
              <w14:schemeClr w14:val="tx1"/>
            </w14:solidFill>
          </w14:textFill>
        </w:rPr>
        <w:t xml:space="preserve">.1下列文件为本合同不可分割部</w:t>
      </w:r>
      <w:r>
        <w:rPr>
          <w:rStyle w:val="1254"/>
          <w:rFonts w:hint="eastAsia" w:ascii="宋体" w:hAnsi="宋体" w:cs="宋体"/>
          <w:color w:val="000000" w:themeColor="text1"/>
          <w:sz w:val="24"/>
          <w:highlight w:val="none"/>
          <w:lang w:val="en-US"/>
          <w14:textFill>
            <w14:solidFill>
              <w14:schemeClr w14:val="tx1"/>
            </w14:solidFill>
          </w14:textFill>
        </w:rPr>
        <w:t xml:space="preserve">分</w:t>
      </w:r>
      <w:r>
        <w:rPr>
          <w:rStyle w:val="1254"/>
          <w:rFonts w:hint="eastAsia" w:ascii="宋体" w:hAnsi="宋体" w:eastAsia="宋体" w:cs="宋体"/>
          <w:color w:val="000000" w:themeColor="text1"/>
          <w:sz w:val="24"/>
          <w:highlight w:val="none"/>
          <w14:textFill>
            <w14:solidFill>
              <w14:schemeClr w14:val="tx1"/>
            </w14:solidFill>
          </w14:textFill>
        </w:rPr>
        <w:t xml:space="preserve">，与本合同具有同等效力。</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1</w:t>
      </w:r>
      <w:r>
        <w:rPr>
          <w:rStyle w:val="1254"/>
          <w:rFonts w:hint="eastAsia" w:ascii="宋体" w:hAnsi="宋体" w:eastAsia="宋体" w:cs="宋体"/>
          <w:color w:val="000000" w:themeColor="text1"/>
          <w:sz w:val="24"/>
          <w:highlight w:val="none"/>
          <w14:textFill>
            <w14:solidFill>
              <w14:schemeClr w14:val="tx1"/>
            </w14:solidFill>
          </w14:textFill>
        </w:rPr>
        <w:t xml:space="preserve">）中标通知书；</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）乙方中标的投标文件；</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highlight w:val="none"/>
          <w14:textFill>
            <w14:solidFill>
              <w14:schemeClr w14:val="tx1"/>
            </w14:solidFill>
          </w14:textFill>
        </w:rPr>
        <w:t xml:space="preserve">）招标文件；</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4</w:t>
      </w:r>
      <w:r>
        <w:rPr>
          <w:rStyle w:val="1254"/>
          <w:rFonts w:hint="eastAsia" w:ascii="宋体" w:hAnsi="宋体" w:eastAsia="宋体" w:cs="宋体"/>
          <w:color w:val="000000" w:themeColor="text1"/>
          <w:sz w:val="24"/>
          <w:highlight w:val="none"/>
          <w14:textFill>
            <w14:solidFill>
              <w14:schemeClr w14:val="tx1"/>
            </w14:solidFill>
          </w14:textFill>
        </w:rPr>
        <w:t xml:space="preserve">）乙方在招投标过程中所作的其他承诺、声明、书面澄清等。</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02" w:name="_Toc16094"/>
      <w:r/>
      <w:bookmarkStart w:id="303" w:name="_Toc20291"/>
      <w:r/>
      <w:bookmarkStart w:id="304" w:name="_Toc13398"/>
      <w:r/>
      <w:bookmarkStart w:id="305" w:name="_Toc2387"/>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8"/>
          <w:szCs w:val="28"/>
          <w:highlight w:val="none"/>
          <w14:textFill>
            <w14:solidFill>
              <w14:schemeClr w14:val="tx1"/>
            </w14:solidFill>
          </w14:textFill>
        </w:rPr>
        <w:t xml:space="preserve">、合同生效及其它</w:t>
      </w:r>
      <w:bookmarkEnd w:id="302"/>
      <w:r/>
      <w:bookmarkEnd w:id="303"/>
      <w:r/>
      <w:bookmarkEnd w:id="304"/>
      <w:r/>
      <w:bookmarkEnd w:id="305"/>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6</w:t>
      </w:r>
      <w:r>
        <w:rPr>
          <w:rStyle w:val="1254"/>
          <w:rFonts w:hint="eastAsia" w:ascii="宋体" w:hAnsi="宋体" w:eastAsia="宋体" w:cs="宋体"/>
          <w:color w:val="000000" w:themeColor="text1"/>
          <w:sz w:val="24"/>
          <w:highlight w:val="none"/>
          <w14:textFill>
            <w14:solidFill>
              <w14:schemeClr w14:val="tx1"/>
            </w14:solidFill>
          </w14:textFill>
        </w:rPr>
        <w:t xml:space="preserve">.1合同经双方法定代表人</w:t>
      </w:r>
      <w:r>
        <w:rPr>
          <w:rStyle w:val="1254"/>
          <w:rFonts w:hint="eastAsia" w:ascii="宋体" w:hAnsi="宋体" w:eastAsia="宋体" w:cs="宋体"/>
          <w:bCs/>
          <w:color w:val="000000" w:themeColor="text1"/>
          <w:sz w:val="24"/>
          <w:highlight w:val="none"/>
          <w14:textFill>
            <w14:solidFill>
              <w14:schemeClr w14:val="tx1"/>
            </w14:solidFill>
          </w14:textFill>
        </w:rPr>
        <w:t xml:space="preserve">（或负责人）</w:t>
      </w:r>
      <w:r>
        <w:rPr>
          <w:rStyle w:val="1254"/>
          <w:rFonts w:hint="eastAsia" w:ascii="宋体" w:hAnsi="宋体" w:eastAsia="宋体" w:cs="宋体"/>
          <w:color w:val="000000" w:themeColor="text1"/>
          <w:sz w:val="24"/>
          <w:highlight w:val="none"/>
          <w14:textFill>
            <w14:solidFill>
              <w14:schemeClr w14:val="tx1"/>
            </w14:solidFill>
          </w14:textFill>
        </w:rPr>
        <w:t xml:space="preserve">或授权委托代表人签字并加盖单位公章（</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或合同章</w:t>
      </w:r>
      <w:r>
        <w:rPr>
          <w:rStyle w:val="1254"/>
          <w:rFonts w:hint="eastAsia" w:ascii="宋体" w:hAnsi="宋体" w:eastAsia="宋体" w:cs="宋体"/>
          <w:color w:val="000000" w:themeColor="text1"/>
          <w:sz w:val="24"/>
          <w:highlight w:val="none"/>
          <w14:textFill>
            <w14:solidFill>
              <w14:schemeClr w14:val="tx1"/>
            </w14:solidFill>
          </w14:textFill>
        </w:rPr>
        <w:t xml:space="preserve">）后生效，生效后至张家港市政府采购管理中心备案。</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6</w:t>
      </w:r>
      <w:r>
        <w:rPr>
          <w:rStyle w:val="1254"/>
          <w:rFonts w:hint="eastAsia" w:ascii="宋体" w:hAnsi="宋体" w:eastAsia="宋体" w:cs="宋体"/>
          <w:color w:val="000000" w:themeColor="text1"/>
          <w:sz w:val="24"/>
          <w:highlight w:val="none"/>
          <w14:textFill>
            <w14:solidFill>
              <w14:schemeClr w14:val="tx1"/>
            </w14:solidFill>
          </w14:textFill>
        </w:rPr>
        <w:t xml:space="preserve">.2 本合同未尽事宜，遵照《中华人民共和国民法典》合同编经甲乙双方协商一致可签订补充协议。</w:t>
      </w:r>
      <w:r/>
    </w:p>
    <w:p>
      <w:pPr>
        <w:pStyle w:val="1266"/>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16.3 本合同正本一式</w:t>
      </w:r>
      <w:r>
        <w:rPr>
          <w:rStyle w:val="1254"/>
          <w:rFonts w:hint="eastAsia" w:ascii="宋体" w:hAnsi="宋体" w:cs="宋体"/>
          <w:color w:val="000000" w:themeColor="text1"/>
          <w:sz w:val="24"/>
          <w:highlight w:val="none"/>
          <w:lang w:val="en-US"/>
          <w14:textFill>
            <w14:solidFill>
              <w14:schemeClr w14:val="tx1"/>
            </w14:solidFill>
          </w14:textFill>
        </w:rPr>
        <w:t xml:space="preserve">陆</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份，具有同等法律效力，甲方执</w:t>
      </w:r>
      <w:r>
        <w:rPr>
          <w:rStyle w:val="1254"/>
          <w:rFonts w:hint="eastAsia" w:ascii="宋体" w:hAnsi="宋体" w:cs="宋体"/>
          <w:color w:val="000000" w:themeColor="text1"/>
          <w:sz w:val="24"/>
          <w:highlight w:val="none"/>
          <w:lang w:val="en-US"/>
          <w14:textFill>
            <w14:solidFill>
              <w14:schemeClr w14:val="tx1"/>
            </w14:solidFill>
          </w14:textFill>
        </w:rPr>
        <w:t xml:space="preserve">叁</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份，乙方、苏州政合信咨询管理服务有限公司、张家港市政府采购管理中心各执</w:t>
      </w:r>
      <w:r>
        <w:rPr>
          <w:rStyle w:val="1254"/>
          <w:rFonts w:hint="eastAsia" w:ascii="宋体" w:hAnsi="宋体" w:cs="宋体"/>
          <w:color w:val="000000" w:themeColor="text1"/>
          <w:sz w:val="24"/>
          <w:highlight w:val="none"/>
          <w:lang w:val="en-US"/>
          <w14:textFill>
            <w14:solidFill>
              <w14:schemeClr w14:val="tx1"/>
            </w14:solidFill>
          </w14:textFill>
        </w:rPr>
        <w:t xml:space="preserve">壹</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份。</w:t>
      </w:r>
      <w:r/>
    </w:p>
    <w:p>
      <w:pPr>
        <w:pStyle w:val="126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108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rHeight w:val="850"/>
        </w:trPr>
        <w:tc>
          <w:tcPr>
            <w:tcW w:w="4981" w:type="dxa"/>
            <w:textDirection w:val="lrTb"/>
            <w:noWrap w:val="false"/>
          </w:tcPr>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甲方：</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地址：</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法定代表人（或负责人）或授权代表：</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联系电话：</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vertAlign w:val="baseli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签订日期：      年    月   日</w:t>
            </w:r>
            <w:r/>
          </w:p>
        </w:tc>
        <w:tc>
          <w:tcPr>
            <w:tcW w:w="4981" w:type="dxa"/>
            <w:textDirection w:val="lrTb"/>
            <w:noWrap w:val="false"/>
          </w:tcPr>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乙方：</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地址：</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法定代表人（或负责人）或授权代表：</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联系电话：</w:t>
            </w:r>
            <w:r/>
          </w:p>
          <w:p>
            <w:pPr>
              <w:pStyle w:val="1267"/>
              <w:ind w:firstLine="0"/>
              <w:keepLines w:val="0"/>
              <w:keepNext w:val="0"/>
              <w:pageBreakBefore w:val="0"/>
              <w:spacing w:after="0" w:line="520" w:lineRule="exact"/>
              <w:widowControl w:val="off"/>
              <w:rPr>
                <w:rStyle w:val="1254"/>
                <w:rFonts w:hint="eastAsia" w:ascii="宋体" w:hAnsi="宋体" w:eastAsia="宋体" w:cs="宋体"/>
                <w:color w:val="000000" w:themeColor="text1"/>
                <w:sz w:val="24"/>
                <w:highlight w:val="none"/>
                <w:vertAlign w:val="baseline"/>
                <w14:textFill>
                  <w14:solidFill>
                    <w14:schemeClr w14:val="tx1"/>
                  </w14:solidFill>
                </w14:textFill>
              </w:rPr>
            </w:pPr>
            <w:r>
              <w:rPr>
                <w:rStyle w:val="1254"/>
                <w:rFonts w:hint="eastAsia" w:ascii="宋体" w:hAnsi="宋体" w:eastAsia="宋体" w:cs="宋体"/>
                <w:color w:val="000000" w:themeColor="text1"/>
                <w:sz w:val="24"/>
                <w:highlight w:val="none"/>
                <w:lang w:val="en-US"/>
                <w14:textFill>
                  <w14:solidFill>
                    <w14:schemeClr w14:val="tx1"/>
                  </w14:solidFill>
                </w14:textFill>
              </w:rPr>
              <w:t xml:space="preserve">签订日期：      年    月   日</w:t>
            </w:r>
            <w:bookmarkEnd w:id="231"/>
            <w:r/>
            <w:r/>
          </w:p>
        </w:tc>
      </w:tr>
    </w:tbl>
    <w:p>
      <w:pPr>
        <w:keepLines w:val="0"/>
        <w:keepNext w:val="0"/>
        <w:pageBreakBefore w:val="0"/>
        <w:spacing w:line="240" w:lineRule="auto"/>
        <w:widowControl w:val="off"/>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keepLines w:val="0"/>
        <w:keepNext w:val="0"/>
        <w:pageBreakBefore w:val="0"/>
        <w:spacing w:line="240" w:lineRule="auto"/>
        <w:widowControl w:val="off"/>
        <w:rPr>
          <w:rFonts w:hint="eastAsia" w:ascii="宋体" w:hAnsi="宋体" w:eastAsia="宋体" w:cs="宋体"/>
          <w:color w:val="000000" w:themeColor="text1"/>
          <w:sz w:val="20"/>
          <w:highlight w:val="none"/>
          <w14:textFill>
            <w14:solidFill>
              <w14:schemeClr w14:val="tx1"/>
            </w14:solidFill>
          </w14:textFill>
        </w:rPr>
        <w:sectPr>
          <w:headerReference w:type="default" r:id="rId15"/>
          <w:headerReference w:type="first" r:id="rId16"/>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0"/>
          <w:highlight w:val="none"/>
          <w14:textFill>
            <w14:solidFill>
              <w14:schemeClr w14:val="tx1"/>
            </w14:solidFill>
          </w14:textFill>
        </w:rPr>
      </w:r>
      <w:r/>
    </w:p>
    <w:p>
      <w:pPr>
        <w:pStyle w:val="1246"/>
        <w:spacing w:before="313" w:after="313"/>
        <w:rPr>
          <w:rFonts w:hint="eastAsia" w:ascii="宋体" w:hAnsi="宋体" w:eastAsia="宋体" w:cs="宋体"/>
          <w:color w:val="000000" w:themeColor="text1"/>
          <w:highlight w:val="none"/>
          <w14:textFill>
            <w14:solidFill>
              <w14:schemeClr w14:val="tx1"/>
            </w14:solidFill>
          </w14:textFill>
        </w:rPr>
      </w:pPr>
      <w:r/>
      <w:bookmarkStart w:id="306" w:name="_Hlt16619350"/>
      <w:r/>
      <w:bookmarkStart w:id="307" w:name="_Toc9844"/>
      <w:r/>
      <w:bookmarkStart w:id="308" w:name="_Toc24253"/>
      <w:r/>
      <w:bookmarkStart w:id="309" w:name="_Toc16938590"/>
      <w:r/>
      <w:bookmarkStart w:id="310" w:name="_Toc54615246"/>
      <w:r/>
      <w:bookmarkStart w:id="311" w:name="_Toc38368128"/>
      <w:r/>
      <w:bookmarkStart w:id="312" w:name="_Toc32601"/>
      <w:r/>
      <w:bookmarkStart w:id="313" w:name="_Toc120614244"/>
      <w:r/>
      <w:bookmarkStart w:id="314" w:name="_Toc13070"/>
      <w:r/>
      <w:bookmarkStart w:id="315" w:name="_Toc35266028"/>
      <w:r/>
      <w:bookmarkStart w:id="316" w:name="_Toc20823346"/>
      <w:r>
        <w:rPr>
          <w:rFonts w:hint="eastAsia" w:ascii="宋体" w:hAnsi="宋体" w:eastAsia="宋体" w:cs="宋体"/>
          <w:color w:val="000000" w:themeColor="text1"/>
          <w:highlight w:val="none"/>
          <w14:textFill>
            <w14:solidFill>
              <w14:schemeClr w14:val="tx1"/>
            </w14:solidFill>
          </w14:textFill>
        </w:rPr>
        <w:t xml:space="preserve">第</w:t>
      </w:r>
      <w:bookmarkEnd w:id="306"/>
      <w:r>
        <w:rPr>
          <w:rFonts w:hint="eastAsia" w:ascii="宋体" w:hAnsi="宋体" w:eastAsia="宋体" w:cs="宋体"/>
          <w:color w:val="000000" w:themeColor="text1"/>
          <w:highlight w:val="none"/>
          <w14:textFill>
            <w14:solidFill>
              <w14:schemeClr w14:val="tx1"/>
            </w14:solidFill>
          </w14:textFill>
        </w:rPr>
        <w:t xml:space="preserve">四章 项目需求</w:t>
      </w:r>
      <w:bookmarkEnd w:id="307"/>
      <w:r/>
      <w:bookmarkEnd w:id="308"/>
      <w:r/>
      <w:bookmarkEnd w:id="309"/>
      <w:r/>
      <w:bookmarkEnd w:id="310"/>
      <w:r/>
      <w:bookmarkEnd w:id="311"/>
      <w:r/>
      <w:bookmarkEnd w:id="312"/>
      <w:r/>
      <w:bookmarkEnd w:id="313"/>
      <w:r/>
      <w:bookmarkEnd w:id="314"/>
      <w:r/>
      <w:bookmarkEnd w:id="315"/>
      <w:r/>
      <w:bookmarkEnd w:id="316"/>
      <w:r/>
      <w:bookmarkStart w:id="317" w:name="_Toc274321794"/>
      <w:r/>
      <w:bookmarkEnd w:id="317"/>
      <w:r/>
      <w:bookmarkStart w:id="318" w:name="_Toc319429198"/>
      <w:r/>
      <w:bookmarkEnd w:id="318"/>
      <w:r/>
      <w:bookmarkStart w:id="319" w:name="_Toc350255489"/>
      <w:r/>
      <w:bookmarkEnd w:id="319"/>
      <w:r/>
      <w:bookmarkStart w:id="320" w:name="_Toc483515625"/>
      <w:r/>
      <w:bookmarkEnd w:id="320"/>
      <w:r/>
      <w:bookmarkStart w:id="321" w:name="_Toc26554093"/>
      <w:r/>
      <w:bookmarkStart w:id="322" w:name="_Toc49090575"/>
      <w:r/>
      <w:r/>
    </w:p>
    <w:p>
      <w:pPr>
        <w:keepLines w:val="0"/>
        <w:keepNext w:val="0"/>
        <w:pageBreakBefore w:val="0"/>
        <w:spacing w:line="500" w:lineRule="exact"/>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23" w:name="_Toc28824"/>
      <w:r/>
      <w:bookmarkStart w:id="324" w:name="_Toc14169"/>
      <w:r/>
      <w:bookmarkStart w:id="325" w:name="_Toc22586"/>
      <w:r/>
      <w:bookmarkStart w:id="326" w:name="_Toc13663"/>
      <w:r/>
      <w:bookmarkStart w:id="327" w:name="_Toc120614281"/>
      <w:r>
        <w:rPr>
          <w:rFonts w:hint="eastAsia" w:ascii="宋体" w:hAnsi="宋体" w:eastAsia="宋体" w:cs="宋体"/>
          <w:b/>
          <w:color w:val="000000" w:themeColor="text1"/>
          <w:sz w:val="28"/>
          <w:szCs w:val="28"/>
          <w:highlight w:val="none"/>
          <w14:textFill>
            <w14:solidFill>
              <w14:schemeClr w14:val="tx1"/>
            </w14:solidFill>
          </w14:textFill>
        </w:rPr>
        <w:t xml:space="preserve">一、清单</w:t>
      </w:r>
      <w:bookmarkEnd w:id="323"/>
      <w:r/>
      <w:bookmarkEnd w:id="324"/>
      <w:r/>
      <w:bookmarkEnd w:id="325"/>
      <w:r/>
      <w:bookmarkEnd w:id="326"/>
      <w:r/>
      <w:r/>
    </w:p>
    <w:p>
      <w:pPr>
        <w:pStyle w:val="1268"/>
        <w:ind w:firstLine="499"/>
        <w:keepLines w:val="0"/>
        <w:keepNext w:val="0"/>
        <w:pageBreakBefore w:val="0"/>
        <w:spacing w:line="500" w:lineRule="exact"/>
        <w:widowControl/>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清单</w:t>
      </w:r>
      <w:r/>
    </w:p>
    <w:tbl>
      <w:tblPr>
        <w:tblStyle w:val="1066"/>
        <w:tblW w:w="49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31"/>
        <w:gridCol w:w="2018"/>
        <w:gridCol w:w="705"/>
        <w:gridCol w:w="765"/>
        <w:gridCol w:w="720"/>
        <w:gridCol w:w="2724"/>
        <w:gridCol w:w="915"/>
        <w:gridCol w:w="1204"/>
      </w:tblGrid>
      <w:tr>
        <w:trPr>
          <w:jc w:val="center"/>
          <w:trHeight w:val="567"/>
        </w:trPr>
        <w:tc>
          <w:tcPr>
            <w:shd w:val="clear" w:color="auto" w:fill="b5c7ea" w:themeFill="accent1" w:themeFillTint="66"/>
            <w:tcMar>
              <w:top w:w="100" w:type="dxa"/>
              <w:bottom w:w="100" w:type="dxa"/>
            </w:tcMar>
            <w:tcW w:w="731"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auto" w:fill="b5c7ea" w:themeFill="accent1" w:themeFillTint="66"/>
            <w:tcMar>
              <w:top w:w="100" w:type="dxa"/>
              <w:bottom w:w="100" w:type="dxa"/>
            </w:tcMar>
            <w:tcW w:w="2018"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b5c7ea" w:themeFill="accent1" w:themeFillTint="66"/>
            <w:tcMar>
              <w:top w:w="100" w:type="dxa"/>
              <w:bottom w:w="100" w:type="dxa"/>
            </w:tcMar>
            <w:tcW w:w="705"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shd w:val="clear" w:color="auto" w:fill="b5c7ea" w:themeFill="accent1" w:themeFillTint="66"/>
            <w:tcMar>
              <w:top w:w="100" w:type="dxa"/>
              <w:bottom w:w="100" w:type="dxa"/>
            </w:tcMar>
            <w:tcW w:w="765"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b5c7ea" w:themeFill="accent1" w:themeFillTint="66"/>
            <w:tcMar>
              <w:top w:w="100" w:type="dxa"/>
              <w:bottom w:w="100" w:type="dxa"/>
            </w:tcMar>
            <w:tcW w:w="720"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图片</w:t>
            </w:r>
            <w:r/>
          </w:p>
        </w:tc>
        <w:tc>
          <w:tcPr>
            <w:shd w:val="clear" w:color="auto" w:fill="b5c7ea" w:themeFill="accent1" w:themeFillTint="66"/>
            <w:tcMar>
              <w:top w:w="100" w:type="dxa"/>
              <w:bottom w:w="100" w:type="dxa"/>
            </w:tcMar>
            <w:tcW w:w="2724"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所属行业</w:t>
            </w:r>
            <w:r/>
          </w:p>
        </w:tc>
        <w:tc>
          <w:tcPr>
            <w:shd w:val="clear" w:color="auto" w:fill="b5c7ea" w:themeFill="accent1" w:themeFillTint="66"/>
            <w:tcMar>
              <w:top w:w="100" w:type="dxa"/>
              <w:bottom w:w="100" w:type="dxa"/>
            </w:tcMar>
            <w:tcW w:w="915"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标的类型</w:t>
            </w:r>
            <w:r/>
          </w:p>
        </w:tc>
        <w:tc>
          <w:tcPr>
            <w:shd w:val="clear" w:color="auto" w:fill="b5c7ea" w:themeFill="accent1" w:themeFillTint="66"/>
            <w:tcMar>
              <w:top w:w="100" w:type="dxa"/>
              <w:bottom w:w="100" w:type="dxa"/>
            </w:tcMar>
            <w:tcW w:w="1204" w:type="dxa"/>
            <w:vAlign w:val="center"/>
            <w:textDirection w:val="lrTb"/>
            <w:noWrap/>
          </w:tcPr>
          <w:p>
            <w:pPr>
              <w:pStyle w:val="1269"/>
              <w:jc w:val="center"/>
              <w:spacing w:line="240" w:lineRule="auto"/>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标的属性</w:t>
            </w:r>
            <w:r/>
          </w:p>
        </w:tc>
      </w:tr>
      <w:tr>
        <w:trPr>
          <w:jc w:val="center"/>
          <w:trHeight w:val="567"/>
        </w:trPr>
        <w:tc>
          <w:tcPr>
            <w:tcMar>
              <w:top w:w="100" w:type="dxa"/>
              <w:bottom w:w="100" w:type="dxa"/>
            </w:tcMar>
            <w:tcW w:w="731"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top w:w="100" w:type="dxa"/>
              <w:bottom w:w="100" w:type="dxa"/>
            </w:tcMar>
            <w:tcW w:w="2018"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医院业务系统软件运维及接口服务包项目</w:t>
            </w:r>
            <w:r/>
          </w:p>
        </w:tc>
        <w:tc>
          <w:tcPr>
            <w:tcMar>
              <w:top w:w="100" w:type="dxa"/>
              <w:bottom w:w="100" w:type="dxa"/>
            </w:tcMar>
            <w:tcW w:w="705"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top w:w="100" w:type="dxa"/>
              <w:bottom w:w="100" w:type="dxa"/>
            </w:tcMar>
            <w:tcW w:w="765"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项</w:t>
            </w:r>
            <w:r/>
          </w:p>
        </w:tc>
        <w:tc>
          <w:tcPr>
            <w:tcMar>
              <w:top w:w="100" w:type="dxa"/>
              <w:bottom w:w="100" w:type="dxa"/>
            </w:tcMar>
            <w:tcW w:w="720"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无</w:t>
            </w:r>
            <w:r/>
          </w:p>
        </w:tc>
        <w:tc>
          <w:tcPr>
            <w:tcMar>
              <w:top w:w="100" w:type="dxa"/>
              <w:bottom w:w="100" w:type="dxa"/>
            </w:tcMar>
            <w:tcW w:w="2724"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软件和信息技术服务业</w:t>
            </w:r>
            <w:r/>
          </w:p>
        </w:tc>
        <w:tc>
          <w:tcPr>
            <w:tcMar>
              <w:top w:w="100" w:type="dxa"/>
              <w:bottom w:w="100" w:type="dxa"/>
            </w:tcMar>
            <w:tcW w:w="915"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主要采购标的</w:t>
            </w:r>
            <w:r/>
          </w:p>
        </w:tc>
        <w:tc>
          <w:tcPr>
            <w:tcMar>
              <w:top w:w="100" w:type="dxa"/>
              <w:bottom w:w="100" w:type="dxa"/>
            </w:tcMar>
            <w:tcW w:w="1204" w:type="dxa"/>
            <w:vAlign w:val="center"/>
            <w:textDirection w:val="lrTb"/>
            <w:noWrap/>
          </w:tcPr>
          <w:p>
            <w:pPr>
              <w:pStyle w:val="1269"/>
              <w:jc w:val="center"/>
              <w:keepLines w:val="0"/>
              <w:keepNext w:val="0"/>
              <w:pageBreakBefore w:val="0"/>
              <w:spacing w:line="240" w:lineRule="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服务类</w:t>
            </w:r>
            <w:r/>
          </w:p>
        </w:tc>
      </w:tr>
    </w:tbl>
    <w:p>
      <w:pPr>
        <w:pStyle w:val="1268"/>
        <w:ind w:firstLine="480"/>
        <w:keepLines w:val="0"/>
        <w:keepNext w:val="0"/>
        <w:pageBreakBefore w:val="0"/>
        <w:spacing w:line="520" w:lineRule="exact"/>
        <w:shd w:val="clear" w:color="auto" w:fill="auto"/>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70"/>
        <w:ind w:firstLine="482"/>
        <w:keepLines w:val="0"/>
        <w:keepNext w:val="0"/>
        <w:pageBreakBefore w:val="0"/>
        <w:spacing w:line="520" w:lineRule="exact"/>
        <w:shd w:val="clear" w:color="auto" w:fill="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核心产品清单</w:t>
      </w:r>
      <w:r/>
    </w:p>
    <w:p>
      <w:pPr>
        <w:pStyle w:val="1270"/>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无。</w:t>
      </w:r>
      <w:r/>
    </w:p>
    <w:p>
      <w:pPr>
        <w:pStyle w:val="1271"/>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注：</w:t>
      </w:r>
      <w:r/>
    </w:p>
    <w:p>
      <w:pPr>
        <w:pStyle w:val="1271"/>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1．</w:t>
      </w:r>
      <w:r>
        <w:rPr>
          <w:rStyle w:val="1254"/>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1"/>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2．</w:t>
      </w:r>
      <w:r>
        <w:rPr>
          <w:rStyle w:val="1254"/>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71"/>
        <w:ind w:firstLine="482"/>
        <w:keepLines w:val="0"/>
        <w:keepNext w:val="0"/>
        <w:pageBreakBefore w:val="0"/>
        <w:spacing w:line="520" w:lineRule="exact"/>
        <w:shd w:val="clear" w:color="auto" w:fill="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节能、环境标志产品清单(请提供国家确定的认证机构出具的、处于有效期之内的节能产品、环境标志产品认证证书（若证书有附件（附录）的，附件（附录）须随证书一起提供）</w:t>
      </w:r>
      <w:r/>
    </w:p>
    <w:p>
      <w:pPr>
        <w:pStyle w:val="1271"/>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节能产品政府采购品目清单：</w:t>
      </w:r>
      <w:r/>
    </w:p>
    <w:p>
      <w:pPr>
        <w:pStyle w:val="1271"/>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无。</w:t>
      </w:r>
      <w:r/>
    </w:p>
    <w:p>
      <w:pPr>
        <w:pStyle w:val="1272"/>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环境标志产品政府采购品目清单：</w:t>
      </w:r>
      <w:r/>
    </w:p>
    <w:p>
      <w:pPr>
        <w:pStyle w:val="1271"/>
        <w:ind w:firstLine="480"/>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8"/>
          <w:szCs w:val="28"/>
          <w:highlight w:val="none"/>
          <w14:textFill>
            <w14:solidFill>
              <w14:schemeClr w14:val="tx1"/>
            </w14:solidFill>
          </w14:textFill>
        </w:rPr>
      </w:pPr>
      <w:r/>
      <w:bookmarkStart w:id="328" w:name="EB408f2104b2e44804a6615a1921eee37c"/>
      <w:r/>
      <w:bookmarkEnd w:id="328"/>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无。</w:t>
      </w:r>
      <w:r/>
    </w:p>
    <w:p>
      <w:pPr>
        <w:pStyle w:val="1271"/>
        <w:ind w:firstLine="482"/>
        <w:keepLines w:val="0"/>
        <w:keepNext w:val="0"/>
        <w:pageBreakBefore w:val="0"/>
        <w:spacing w:line="520" w:lineRule="exact"/>
        <w:shd w:val="clear" w:color="auto" w:fill="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（四）绿色采购其他政策</w:t>
      </w:r>
      <w:r/>
    </w:p>
    <w:p>
      <w:pPr>
        <w:pStyle w:val="1272"/>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72"/>
        <w:ind w:firstLine="480"/>
        <w:keepLines w:val="0"/>
        <w:keepNext w:val="0"/>
        <w:pageBreakBefore w:val="0"/>
        <w:spacing w:line="520" w:lineRule="exact"/>
        <w:shd w:val="clear" w:color="auto" w:fill="auto"/>
        <w:widowControl w:val="off"/>
        <w:rPr>
          <w:rStyle w:val="1254"/>
          <w:rFonts w:hint="eastAsia" w:ascii="宋体" w:hAnsi="宋体" w:eastAsia="宋体" w:cs="宋体"/>
          <w:b w:val="0"/>
          <w:bCs w:val="0"/>
          <w:color w:val="000000" w:themeColor="text1"/>
          <w:sz w:val="24"/>
          <w:szCs w:val="24"/>
          <w:highlight w:val="none"/>
          <w14:textFill>
            <w14:solidFill>
              <w14:schemeClr w14:val="tx1"/>
            </w14:solidFill>
          </w14:textFill>
        </w:rPr>
      </w:pPr>
      <w:r>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numPr>
          <w:ilvl w:val="0"/>
          <w:numId w:val="0"/>
        </w:numPr>
        <w:ind w:firstLine="562"/>
        <w:keepLines w:val="0"/>
        <w:keepNext w:val="0"/>
        <w:pageBreakBefore w:val="0"/>
        <w:spacing w:line="52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29" w:name="_Toc9331"/>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z w:val="28"/>
          <w:szCs w:val="28"/>
          <w:highlight w:val="none"/>
          <w14:textFill>
            <w14:solidFill>
              <w14:schemeClr w14:val="tx1"/>
            </w14:solidFill>
          </w14:textFill>
        </w:rPr>
        <w:t xml:space="preserve">技术要求</w:t>
      </w:r>
      <w:bookmarkEnd w:id="329"/>
      <w:r/>
      <w:r/>
    </w:p>
    <w:p>
      <w:pPr>
        <w:ind w:firstLine="482"/>
        <w:keepLines w:val="0"/>
        <w:keepNext w:val="0"/>
        <w:pageBreakBefore w:val="0"/>
        <w:spacing w:line="520" w:lineRule="exact"/>
        <w:widowControl w:val="off"/>
        <w:tabs>
          <w:tab w:val="left" w:pos="0" w:leader="none"/>
        </w:tabs>
        <w:rPr>
          <w:rFonts w:hint="eastAsia" w:ascii="Times New Roman" w:hAnsi="Times New Roman" w:eastAsia="宋体" w:cs="宋体"/>
          <w:b/>
          <w:color w:val="000000" w:themeColor="text1"/>
          <w:sz w:val="24"/>
          <w:szCs w:val="24"/>
          <w:highlight w:val="none"/>
          <w14:textFill>
            <w14:solidFill>
              <w14:schemeClr w14:val="tx1"/>
            </w14:solidFill>
          </w14:textFill>
        </w:rPr>
      </w:pPr>
      <w:r>
        <w:rPr>
          <w:rFonts w:hint="eastAsia" w:ascii="Times New Roman" w:hAnsi="Times New Roman" w:eastAsia="宋体" w:cs="宋体"/>
          <w:b/>
          <w:color w:val="000000" w:themeColor="text1"/>
          <w:sz w:val="24"/>
          <w:szCs w:val="24"/>
          <w:highlight w:val="none"/>
          <w14:textFill>
            <w14:solidFill>
              <w14:schemeClr w14:val="tx1"/>
            </w14:solidFill>
          </w14:textFill>
        </w:rPr>
        <w:t xml:space="preserve">（一）</w:t>
      </w:r>
      <w:r>
        <w:rPr>
          <w:rFonts w:hint="eastAsia" w:ascii="Times New Roman" w:hAnsi="Times New Roman" w:eastAsia="宋体" w:cs="宋体"/>
          <w:b/>
          <w:color w:val="000000" w:themeColor="text1"/>
          <w:sz w:val="24"/>
          <w:szCs w:val="24"/>
          <w:highlight w:val="none"/>
          <w:lang w:val="en-US" w:eastAsia="zh-CN"/>
          <w14:textFill>
            <w14:solidFill>
              <w14:schemeClr w14:val="tx1"/>
            </w14:solidFill>
          </w14:textFill>
        </w:rPr>
        <w:t xml:space="preserve">项目概况</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近年来为适应信息化的发展对医疗卫生事业的影响，张家港市中医医院也在大力推动信息化建设。系统运营至今也暴露出日常运维过程当中的一些问题，纯粹按照以往的经验化管理已不适应发展。同时，结合医院信息化建设快速发展，对软件服务的需求日益增大，应在摸索改变中制定相对完善的能适用</w:t>
      </w:r>
      <w:r>
        <w:rPr>
          <w:rFonts w:hint="eastAsia" w:ascii="Times New Roman" w:hAnsi="Times New Roman" w:cs="宋体"/>
          <w:color w:val="000000" w:themeColor="text1"/>
          <w:sz w:val="24"/>
          <w:szCs w:val="24"/>
          <w:highlight w:val="none"/>
          <w:lang w:val="en-US" w:eastAsia="zh-CN"/>
          <w14:textFill>
            <w14:solidFill>
              <w14:schemeClr w14:val="tx1"/>
            </w14:solidFill>
          </w14:textFill>
        </w:rPr>
        <w:t xml:space="preserve">医院</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发展和正常运行的运维管理方案。</w:t>
      </w:r>
      <w:r/>
    </w:p>
    <w:p>
      <w:pPr>
        <w:ind w:firstLine="482"/>
        <w:keepLines w:val="0"/>
        <w:keepNext w:val="0"/>
        <w:pageBreakBefore w:val="0"/>
        <w:spacing w:line="520" w:lineRule="exact"/>
        <w:widowControl w:val="off"/>
        <w:tabs>
          <w:tab w:val="left" w:pos="0" w:leader="none"/>
        </w:tabs>
        <w:rPr>
          <w:rFonts w:hint="default" w:ascii="Times New Roman" w:hAnsi="Times New Roman" w:eastAsia="宋体" w:cs="宋体"/>
          <w:b/>
          <w:color w:val="000000" w:themeColor="text1"/>
          <w:sz w:val="24"/>
          <w:szCs w:val="24"/>
          <w:highlight w:val="none"/>
          <w14:textFill>
            <w14:solidFill>
              <w14:schemeClr w14:val="tx1"/>
            </w14:solidFill>
          </w14:textFill>
        </w:rPr>
      </w:pPr>
      <w:r>
        <w:rPr>
          <w:rFonts w:hint="eastAsia" w:ascii="Times New Roman" w:hAnsi="Times New Roman" w:eastAsia="宋体" w:cs="宋体"/>
          <w:b/>
          <w:color w:val="000000" w:themeColor="text1"/>
          <w:sz w:val="24"/>
          <w:szCs w:val="24"/>
          <w:highlight w:val="none"/>
          <w14:textFill>
            <w14:solidFill>
              <w14:schemeClr w14:val="tx1"/>
            </w14:solidFill>
          </w14:textFill>
        </w:rPr>
        <w:t xml:space="preserve">（二）</w:t>
      </w:r>
      <w:r>
        <w:rPr>
          <w:rFonts w:hint="eastAsia" w:ascii="Times New Roman" w:hAnsi="Times New Roman" w:eastAsia="宋体" w:cs="宋体"/>
          <w:b/>
          <w:color w:val="000000" w:themeColor="text1"/>
          <w:sz w:val="24"/>
          <w:szCs w:val="24"/>
          <w:highlight w:val="none"/>
          <w:lang w:val="en-US" w:eastAsia="zh-CN"/>
          <w14:textFill>
            <w14:solidFill>
              <w14:schemeClr w14:val="tx1"/>
            </w14:solidFill>
          </w14:textFill>
        </w:rPr>
        <w:t xml:space="preserve">运维服务目标</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14:textFill>
            <w14:solidFill>
              <w14:schemeClr w14:val="tx1"/>
            </w14:solidFill>
          </w14:textFill>
        </w:rPr>
        <w:t xml:space="preserve">为张家港市中医医院提供全面的性能监控，实时跟踪关键业务指标，如系统响应时间、资源利用率等，确保医院业务系统的稳定运行。通过实时监控和数据分析，能帮助医院及时发现并解决潜在问题，预防系统瓶颈和故障发生</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20" w:lineRule="exact"/>
        <w:widowControl w:val="off"/>
        <w:tabs>
          <w:tab w:val="left" w:pos="0" w:leader="none"/>
        </w:tabs>
        <w:rPr>
          <w:rFonts w:hint="default" w:ascii="Times New Roman" w:hAnsi="Times New Roman" w:eastAsia="宋体" w:cs="宋体"/>
          <w:b/>
          <w:color w:val="000000" w:themeColor="text1"/>
          <w:sz w:val="24"/>
          <w:szCs w:val="24"/>
          <w:highlight w:val="none"/>
          <w14:textFill>
            <w14:solidFill>
              <w14:schemeClr w14:val="tx1"/>
            </w14:solidFill>
          </w14:textFill>
        </w:rPr>
      </w:pPr>
      <w:r>
        <w:rPr>
          <w:rFonts w:hint="eastAsia" w:ascii="Times New Roman" w:hAnsi="Times New Roman" w:eastAsia="宋体" w:cs="宋体"/>
          <w:b/>
          <w:color w:val="000000" w:themeColor="text1"/>
          <w:sz w:val="24"/>
          <w:szCs w:val="24"/>
          <w:highlight w:val="none"/>
          <w:lang w:val="en-US" w:eastAsia="zh-CN"/>
          <w14:textFill>
            <w14:solidFill>
              <w14:schemeClr w14:val="tx1"/>
            </w14:solidFill>
          </w14:textFill>
        </w:rPr>
        <w:t xml:space="preserve">（三）运维服务要求</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14:textFill>
            <w14:solidFill>
              <w14:schemeClr w14:val="tx1"/>
            </w14:solidFill>
          </w14:textFill>
        </w:rPr>
        <w:t xml:space="preserve">1</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运行维护管理要求</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（1）统一服务入口</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负责中医院的服务工程师需作为各种来源服务请求和反馈的统一出入口。</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（2）日常服务流程</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对于医院现有的 HIS 、医生站、医技系统需解决日常运行中的问题，包括：软件安装、操作员培训、业务咨询、事件处理、系统 Bug 修改等。</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（3）服务标准</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需包含服务响应时间、服务处理时间、现场服务、服务回访、自动化巡检系统、调研评估、问题根治、优化改善、服务升级。</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（4）应急响应</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对于现场产生突发的应急事件，中标</w:t>
      </w:r>
      <w:r>
        <w:rPr>
          <w:rFonts w:hint="eastAsia" w:ascii="Times New Roman" w:hAnsi="Times New Roman" w:cs="宋体"/>
          <w:color w:val="000000" w:themeColor="text1"/>
          <w:sz w:val="24"/>
          <w:szCs w:val="24"/>
          <w:highlight w:val="none"/>
          <w:lang w:val="en-US" w:eastAsia="zh-CN"/>
          <w14:textFill>
            <w14:solidFill>
              <w14:schemeClr w14:val="tx1"/>
            </w14:solidFill>
          </w14:textFill>
        </w:rPr>
        <w:t xml:space="preserve">人</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需主动提供应急服务，配合医院进行快速恢复。</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（5）迁移服务</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为规避因业务数据量过大导致系统运行速度缓慢或死锁，服务人员需根据客户服务级别协议要求，利用数据迁移工具将历史数据迁移到历史库。</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（6）接口服务包</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为提升中标</w:t>
      </w:r>
      <w:r>
        <w:rPr>
          <w:rFonts w:hint="eastAsia" w:ascii="Times New Roman" w:hAnsi="Times New Roman" w:cs="宋体"/>
          <w:color w:val="000000" w:themeColor="text1"/>
          <w:sz w:val="24"/>
          <w:szCs w:val="24"/>
          <w:highlight w:val="none"/>
          <w:lang w:val="en-US" w:eastAsia="zh-CN"/>
          <w14:textFill>
            <w14:solidFill>
              <w14:schemeClr w14:val="tx1"/>
            </w14:solidFill>
          </w14:textFill>
        </w:rPr>
        <w:t xml:space="preserve">人</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与第三方软硬件对接响应速度，减少接口合同询价、议价和签订流程的时间成本，需增加可选的接口套餐服务。</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接口包范围主要为政策类接口，具体包括：医保类接口、便民服务类接口、数据上传类接口等。此外还包括数据接口、服务接口等医院后续所能涉及的所有可能的相关接口。</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特别说明：合理用药、审方、自助机、处方外延、线上支付平台、预约平台、互联网医院等第三方接口需审批通过后方可纳入。</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（7）服务模块清单</w:t>
      </w:r>
      <w:r/>
    </w:p>
    <w:p>
      <w:pPr>
        <w:ind w:firstLine="480"/>
        <w:keepLines w:val="0"/>
        <w:keepNext w:val="0"/>
        <w:pageBreakBefore w:val="0"/>
        <w:spacing w:line="520" w:lineRule="exact"/>
        <w:widowControl w:val="off"/>
        <w:rPr>
          <w:rFonts w:hint="eastAsia" w:ascii="Times New Roman" w:hAnsi="Times New Roman" w:eastAsia="宋体" w:cs="宋体"/>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val="en-US" w:eastAsia="zh-CN"/>
          <w14:textFill>
            <w14:solidFill>
              <w14:schemeClr w14:val="tx1"/>
            </w14:solidFill>
          </w14:textFill>
        </w:rPr>
        <w:t xml:space="preserve">中标人</w:t>
      </w: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需详细列明本项目涉及的服务模块清单。</w:t>
      </w:r>
      <w:r/>
    </w:p>
    <w:tbl>
      <w:tblPr>
        <w:tblStyle w:val="106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94"/>
        <w:gridCol w:w="5162"/>
      </w:tblGrid>
      <w:tr>
        <w:trPr>
          <w:jc w:val="center"/>
          <w:trHeight w:val="567"/>
          <w:tblHeader/>
        </w:trPr>
        <w:tc>
          <w:tcPr>
            <w:shd w:val="clear" w:color="auto" w:fill="dbe3f4" w:themeFill="accent1" w:themeFillTint="32"/>
            <w:tcW w:w="2407" w:type="pct"/>
            <w:vAlign w:val="center"/>
            <w:textDirection w:val="lrTb"/>
            <w:noWrap w:val="false"/>
          </w:tcPr>
          <w:p>
            <w:pPr>
              <w:jc w:val="center"/>
              <w:keepLines w:val="0"/>
              <w:keepNext w:val="0"/>
              <w:pageBreakBefore w:val="0"/>
              <w:widowControl w:val="off"/>
              <w:rPr>
                <w:rFonts w:hint="eastAsia"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 xml:space="preserve">系统大类</w:t>
            </w:r>
            <w:r/>
          </w:p>
        </w:tc>
        <w:tc>
          <w:tcPr>
            <w:shd w:val="clear" w:color="auto" w:fill="dbe3f4" w:themeFill="accent1" w:themeFillTint="32"/>
            <w:tcW w:w="2592" w:type="pct"/>
            <w:vAlign w:val="center"/>
            <w:textDirection w:val="lrTb"/>
            <w:noWrap w:val="false"/>
          </w:tcPr>
          <w:p>
            <w:pPr>
              <w:jc w:val="center"/>
              <w:keepLines w:val="0"/>
              <w:keepNext w:val="0"/>
              <w:pageBreakBefore w:val="0"/>
              <w:widowControl w:val="off"/>
              <w:rPr>
                <w:rFonts w:hint="eastAsia"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lang w:val="en-US" w:eastAsia="zh-CN"/>
                <w14:textFill>
                  <w14:solidFill>
                    <w14:schemeClr w14:val="tx1"/>
                  </w14:solidFill>
                </w14:textFill>
              </w:rPr>
              <w:t xml:space="preserve">系统模块</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经济管理</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门急诊挂号</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门急诊收费</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出入院管理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医技收费管理</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药品管理</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药库管理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门诊药房管理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住院药房管理</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门诊输液系统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门诊输液室</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门诊挂号预约</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预约管理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预约服务</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住院手术管理</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住院手术管理</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综合管理与统计分析</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医疗统计</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院长综合查询</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外部</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br/>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接口</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医疗保险接口等</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系统管理</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系统配置</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预住院管理系统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住院准备中心</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自助服务系统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门诊自助服务系统</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门诊临床信息系统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门诊处方管理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门诊申请单管理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门诊单据管理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门诊电子病历</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br/>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（高级版）</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门诊医生危急值应用</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住院临床信息系统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电子医嘱</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住院电子病历</w:t>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br/>
            </w: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（高级版）</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住院电子申请单</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住院医生危急值应用</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住院院内会诊管理</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抗菌药物管理系统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抗菌药物管理</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住院临床路径管理系统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住院临床路径</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疾病监测报告管理系统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传染病报告卡</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住院护士工作站</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住院护士站</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护理信息系统</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护理病历（高级版）</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护理计划</w:t>
            </w:r>
            <w:r/>
          </w:p>
        </w:tc>
      </w:tr>
      <w:tr>
        <w:trPr>
          <w:jc w:val="center"/>
          <w:trHeight w:val="567"/>
        </w:trPr>
        <w:tc>
          <w:tcPr>
            <w:shd w:val="clear" w:color="auto" w:fill="auto"/>
            <w:tcW w:w="2407"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移动护理（PDA）</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移动护理(PDA)</w:t>
            </w:r>
            <w:r/>
          </w:p>
        </w:tc>
      </w:tr>
      <w:tr>
        <w:trPr>
          <w:jc w:val="center"/>
          <w:trHeight w:val="567"/>
        </w:trPr>
        <w:tc>
          <w:tcPr>
            <w:shd w:val="clear" w:color="auto" w:fill="auto"/>
            <w:tcW w:w="240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实验室信息管理系统S-LIMS</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检验科信息管理系统LIS</w:t>
            </w:r>
            <w:r/>
          </w:p>
        </w:tc>
      </w:tr>
      <w:tr>
        <w:trPr>
          <w:jc w:val="center"/>
          <w:trHeight w:val="567"/>
        </w:trPr>
        <w:tc>
          <w:tcPr>
            <w:shd w:val="clear" w:color="auto" w:fill="auto"/>
            <w:tcW w:w="2407" w:type="pct"/>
            <w:vAlign w:val="center"/>
            <w:vMerge w:val="restart"/>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全院检查预约平台</w:t>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预约排班规则管理</w:t>
            </w:r>
            <w:r/>
          </w:p>
        </w:tc>
      </w:tr>
      <w:tr>
        <w:trPr>
          <w:jc w:val="center"/>
          <w:trHeight w:val="567"/>
        </w:trPr>
        <w:tc>
          <w:tcPr>
            <w:shd w:val="clear" w:color="auto" w:fill="auto"/>
            <w:tcW w:w="2407" w:type="pct"/>
            <w:vAlign w:val="center"/>
            <w:vMerge w:val="continue"/>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r>
            <w:r/>
          </w:p>
        </w:tc>
        <w:tc>
          <w:tcPr>
            <w:shd w:val="clear" w:color="auto" w:fill="auto"/>
            <w:tcW w:w="2592" w:type="pct"/>
            <w:vAlign w:val="center"/>
            <w:textDirection w:val="lrTb"/>
            <w:noWrap w:val="false"/>
          </w:tcPr>
          <w:p>
            <w:pPr>
              <w:jc w:val="center"/>
              <w:keepLines w:val="0"/>
              <w:keepNext w:val="0"/>
              <w:pageBreakBefore w:val="0"/>
              <w:widowControl w:val="off"/>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全院预约管理</w:t>
            </w:r>
            <w:r/>
          </w:p>
        </w:tc>
      </w:tr>
    </w:tbl>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服务套餐内容</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需详细列明本次服务套餐的详细内容。</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2</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运维服务内容要求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需包含二次功能修改、数据修复与应急服务、数据监控、系统主动巡检、用户经理回访、服务方式、重大技术问题处理、服务监督。</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3</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信息系统运维要求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运维人员要求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运维人员必须遵守医院的考勤制度、外形象制度，该岗位工作人员无论是医院职工或外包商职工，一律以医院职工对外。此外还需包括运维人员资源要求、人员技术要求、运维人员考勤要求、运维人员的考核。</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团队人员要求：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①</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项目负责人</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1人，具备</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中级</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工程师职称证书、信息系统项目管理师证书。</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②</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网络</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安全</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工程师</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人，</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14:textFill>
            <w14:solidFill>
              <w14:schemeClr w14:val="tx1"/>
            </w14:solidFill>
          </w14:textFill>
        </w:rPr>
        <w:t xml:space="preserve">国家</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信息安全水平认证（NISP）</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证书。</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③</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项目组成员</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人，具备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信息类的</w:t>
      </w:r>
      <w:r>
        <w:rPr>
          <w:rFonts w:hint="eastAsia" w:ascii="宋体" w:hAnsi="宋体" w:eastAsia="宋体" w:cs="宋体"/>
          <w:color w:val="000000" w:themeColor="text1"/>
          <w:sz w:val="24"/>
          <w:szCs w:val="24"/>
          <w:highlight w:val="none"/>
          <w14:textFill>
            <w14:solidFill>
              <w14:schemeClr w14:val="tx1"/>
            </w14:solidFill>
          </w14:textFill>
        </w:rPr>
        <w:t xml:space="preserve">中级或以上工程师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20" w:lineRule="exact"/>
        <w:widowControl w:val="off"/>
        <w:tabs>
          <w:tab w:val="left" w:pos="0" w:leader="none"/>
        </w:tabs>
        <w:rPr>
          <w:rFonts w:hint="eastAsia" w:ascii="Times New Roman" w:hAnsi="Times New Roman" w:eastAsia="宋体" w:cs="宋体"/>
          <w:b/>
          <w:bCs w:val="0"/>
          <w:color w:val="000000" w:themeColor="text1"/>
          <w:sz w:val="24"/>
          <w:szCs w:val="24"/>
          <w:highlight w:val="none"/>
          <w14:textFill>
            <w14:solidFill>
              <w14:schemeClr w14:val="tx1"/>
            </w14:solidFill>
          </w14:textFill>
        </w:rPr>
      </w:pPr>
      <w:r>
        <w:rPr>
          <w:rFonts w:hint="eastAsia" w:ascii="Times New Roman" w:hAnsi="Times New Roman" w:eastAsia="宋体" w:cs="宋体"/>
          <w:b/>
          <w:bCs w:val="0"/>
          <w:color w:val="000000" w:themeColor="text1"/>
          <w:sz w:val="24"/>
          <w:szCs w:val="24"/>
          <w:highlight w:val="none"/>
          <w:lang w:eastAsia="zh-CN"/>
          <w14:textFill>
            <w14:solidFill>
              <w14:schemeClr w14:val="tx1"/>
            </w14:solidFill>
          </w14:textFill>
        </w:rPr>
        <w:t xml:space="preserve">备注：以上人员要求，根据实际故障情况选择现场运维或线上运维。</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运维服务标准与要求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需包含服务程序要求、服务方式要求。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其中服务程序要求需包含日常维护流程要求、维护配合流程要求、商务需求流程要求；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服务方式要求需包含用户服务评价要求、服务工作简报要求、周期性维护要求、重大事件保障要求、用户监督反馈要求。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宋体"/>
          <w:b w:val="0"/>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运维服务标准与要求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需包含服务程序要求、服务方式要求、响应时间要求。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其中服务程序要求需包含日常维护流程要求、维护配合流程要求、商务需求流程要求；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服务方式要求需包含用户服务评价要求、服务工作简报要求、周期性维护要求、重大事件保障要求、用户监督反馈要求。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4</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运维服务响应要求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为中医院提供日常运维服务工作，提供非现场服务及现场服务两种服务方式，同时对服务响应级别分为一般、紧急、重大三种情况。</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对非现场类一般问题1小时内响应，2小时内解决；紧急问题实时响应，实时远程解决；重大问题直接转现场服务处理。</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对现场类一般问题1小时内响应，4小时内到达现场，8小时内解决；紧急问题1小时内响应，2小时内到达现场，4小时内解决；重大问题1小时内响应并到达现场，3小时内解决。</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5</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运维制度与规范要求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需包含服务时间、行为规范、应急处理规范等内容。其中应急处理规范还需包含目的、实施责任制、实施范围和时间、实施通报制度、信息系统故障一般应急措施。</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6</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应急故障维护要求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投标人必须考虑各种故障类型，分别给出解决方案，解决方案至少包括工作内容、详细的应急处理流程等内容。</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工作内容：应急工作内容应与本次项目维护内容相关</w:t>
      </w:r>
      <w:r>
        <w:rPr>
          <w:rFonts w:hint="eastAsia" w:ascii="Times New Roman" w:hAnsi="Times New Roman" w:cs="宋体"/>
          <w:b w:val="0"/>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应急处理流程：要求投标人具备明确的应急处理流程，可保障在紧急情况下快速响应并处理故障问题。</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14:textFill>
            <w14:solidFill>
              <w14:schemeClr w14:val="tx1"/>
            </w14:solidFill>
          </w14:textFill>
        </w:rPr>
        <w:t xml:space="preserve">7</w:t>
      </w:r>
      <w:r>
        <w:rPr>
          <w:rStyle w:val="1254"/>
          <w:rFonts w:hint="eastAsia" w:ascii="Times New Roman" w:hAnsi="Times New Roman" w:eastAsia="宋体" w:cs="宋体"/>
          <w:b w:val="0"/>
          <w:bCs w:val="0"/>
          <w:color w:val="000000" w:themeColor="text1"/>
          <w:sz w:val="24"/>
          <w:szCs w:val="24"/>
          <w:highlight w:val="none"/>
          <w:lang w:val="en-US"/>
          <w14:textFill>
            <w14:solidFill>
              <w14:schemeClr w14:val="tx1"/>
            </w14:solidFill>
          </w14:textFill>
        </w:rPr>
        <w:t xml:space="preserve">．</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运维服务质量考核要求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需包含软件服务质量考核、集成服务质量考核、接口服务包质量考核3部分内容，每部分需提供详细评估标准。</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培训服务</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要求</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培训内容：系统功能、日常操作、系统维护等方面知识。</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培训时间：每年培训4次标准课程，每次培训课时不少于2小时，具体培训日期由采购人决定。</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培训对象：每次培训对象由张家港中医院确定。</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培训方式：提供培训教材的电子版，培训场地由采购人统一安排。</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培训考核：针对培训内容应安排统一的培训考核，对参加培训人员进行培训评估。</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培训讲师：培训师应具备该类项目专业实施经验，熟悉产品功能及性能特点。</w:t>
      </w:r>
      <w:r/>
    </w:p>
    <w:p>
      <w:pPr>
        <w:ind w:firstLine="480"/>
        <w:keepLines w:val="0"/>
        <w:keepNext w:val="0"/>
        <w:pageBreakBefore w:val="0"/>
        <w:spacing w:line="520" w:lineRule="exact"/>
        <w:widowControl w:val="off"/>
        <w:tabs>
          <w:tab w:val="left" w:pos="0" w:leader="none"/>
        </w:tabs>
        <w:rPr>
          <w:rFonts w:hint="eastAsia" w:ascii="Times New Roman" w:hAnsi="Times New Roman" w:eastAsia="宋体" w:cs="宋体"/>
          <w:b w:val="0"/>
          <w:bCs/>
          <w:color w:val="000000" w:themeColor="text1"/>
          <w:sz w:val="24"/>
          <w:szCs w:val="24"/>
          <w:highlight w:val="none"/>
          <w14:textFill>
            <w14:solidFill>
              <w14:schemeClr w14:val="tx1"/>
            </w14:solidFill>
          </w14:textFill>
        </w:rPr>
      </w:pPr>
      <w:r>
        <w:rPr>
          <w:rFonts w:hint="eastAsia" w:ascii="Times New Roman" w:hAnsi="Times New Roman" w:eastAsia="宋体" w:cs="宋体"/>
          <w:b w:val="0"/>
          <w:bCs/>
          <w:color w:val="000000" w:themeColor="text1"/>
          <w:sz w:val="24"/>
          <w:szCs w:val="24"/>
          <w:highlight w:val="none"/>
          <w:lang w:val="en-US" w:eastAsia="zh-CN"/>
          <w14:textFill>
            <w14:solidFill>
              <w14:schemeClr w14:val="tx1"/>
            </w14:solidFill>
          </w14:textFill>
        </w:rPr>
        <w:t xml:space="preserve">其他说明：本项目约定范围内的培训服务，中标人不得向采购人收取任何费用</w:t>
      </w:r>
      <w:r>
        <w:rPr>
          <w:rFonts w:hint="eastAsia" w:ascii="Times New Roman" w:hAnsi="Times New Roman" w:eastAsia="宋体" w:cs="宋体"/>
          <w:b w:val="0"/>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tabs>
          <w:tab w:val="left" w:pos="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验收</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要求</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在维保服务期到期前一个月，由采购人发起对</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维保服务质量和效率的验收，验收以双方确认的验收文档为准。</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验收标准包括且不限于：服务内容是否全部完成、运维期间内系统运行是否稳定、运维期间内是否发生安全事件。</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应在运维过程中完成相应的运维文档编写和管理工作，验收需要提供完整的运维文档，文档包括且不限于以下文档：日常巡检维护记录；故障处理记录；巡检分析报告；开展培训及指导的其他文档。</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重大活动保障</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投标人应具备重大活动保障能力，提供针对法定的元旦、春节、清明、五一、中秋、国庆及国家重大活动等重大节假日的运维保障服务，进行快速应急响应。投标人需能够及时调派资源，第一时间协助用户恢复系统的使用，将节假日突发事件造成的损失尽可能降到最低。</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投标人需承诺针对突发事件制定应急预案，能够按照预案在突发事件发生后2小时到达用户现场，协调公司资源快速解决问题</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其他要求</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具有承担过类似项目的经验及能力，可提供2022年1月1日以来(以合同签订日期为准)承担过的类似项目业绩，提供有效期内的信息安全管理体系认证、质量管理体系认证证书、信息技术服务管理体系认证证书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52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30" w:name="_Toc22915"/>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14:textFill>
            <w14:solidFill>
              <w14:schemeClr w14:val="tx1"/>
            </w14:solidFill>
          </w14:textFill>
        </w:rPr>
        <w:t xml:space="preserve">、商务条款</w:t>
      </w:r>
      <w:bookmarkEnd w:id="330"/>
      <w:r/>
      <w:r/>
    </w:p>
    <w:p>
      <w:pPr>
        <w:pStyle w:val="1273"/>
        <w:ind w:firstLine="482"/>
        <w:keepLines w:val="0"/>
        <w:keepNext w:val="0"/>
        <w:pageBreakBefore w:val="0"/>
        <w:spacing w:line="520" w:lineRule="exact"/>
        <w:widowControl w:val="off"/>
        <w:rPr>
          <w:rStyle w:val="1254"/>
          <w:rFonts w:hint="eastAsia" w:ascii="宋体" w:hAnsi="宋体" w:eastAsia="宋体" w:cs="宋体"/>
          <w:b/>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服务期限</w:t>
      </w: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000000" w:themeColor="text1"/>
          <w:spacing w:val="0"/>
          <w:sz w:val="24"/>
          <w:szCs w:val="22"/>
          <w:highlight w:val="none"/>
          <w:u w:val="single"/>
          <w:shd w:val="clear" w:color="auto" w:fill="auto"/>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1．服务期限</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000000" w:themeColor="text1"/>
          <w:spacing w:val="0"/>
          <w:sz w:val="24"/>
          <w:szCs w:val="22"/>
          <w:highlight w:val="none"/>
          <w:u w:val="single"/>
          <w:shd w:val="clear" w:color="auto" w:fill="auto"/>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自合同签订之日起</w:t>
      </w: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1年</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000000" w:themeColor="text1"/>
          <w:spacing w:val="0"/>
          <w:sz w:val="24"/>
          <w:szCs w:val="22"/>
          <w:highlight w:val="none"/>
          <w:u w:val="single"/>
          <w:shd w:val="clear" w:color="auto" w:fill="auto"/>
          <w14:textFill>
            <w14:solidFill>
              <w14:schemeClr w14:val="tx1"/>
            </w14:solidFill>
          </w14:textFill>
        </w:rPr>
        <w:outlineLvl w:val="9"/>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000000" w:themeColor="text1"/>
          <w:spacing w:val="0"/>
          <w:sz w:val="24"/>
          <w:szCs w:val="22"/>
          <w:highlight w:val="none"/>
          <w:u w:val="single"/>
          <w:shd w:val="clear" w:color="auto" w:fill="auto"/>
          <w14:textFill>
            <w14:solidFill>
              <w14:schemeClr w14:val="tx1"/>
            </w14:solidFill>
          </w14:textFill>
        </w:rPr>
        <w:outlineLvl w:val="9"/>
      </w:pP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采购人指定地点</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w:t>
      </w:r>
      <w:r/>
    </w:p>
    <w:p>
      <w:pPr>
        <w:pStyle w:val="1273"/>
        <w:ind w:firstLine="482"/>
        <w:keepLines w:val="0"/>
        <w:keepNext w:val="0"/>
        <w:pageBreakBefore w:val="0"/>
        <w:spacing w:line="520" w:lineRule="exact"/>
        <w:widowControl w:val="off"/>
        <w:rPr>
          <w:rStyle w:val="1254"/>
          <w:rFonts w:hint="eastAsia" w:ascii="宋体" w:hAnsi="宋体" w:eastAsia="宋体" w:cs="宋体"/>
          <w:b/>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1254"/>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支付</w:t>
      </w:r>
      <w:r>
        <w:rPr>
          <w:rStyle w:val="1254"/>
          <w:rFonts w:hint="eastAsia" w:ascii="宋体" w:hAnsi="宋体" w:eastAsia="宋体" w:cs="宋体"/>
          <w:b/>
          <w:color w:val="000000" w:themeColor="text1"/>
          <w:sz w:val="24"/>
          <w:szCs w:val="24"/>
          <w:highlight w:val="none"/>
          <w:lang w:val="en-US"/>
          <w14:textFill>
            <w14:solidFill>
              <w14:schemeClr w14:val="tx1"/>
            </w14:solidFill>
          </w14:textFill>
        </w:rPr>
        <w:t xml:space="preserve">方式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1．结付程序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中标人按合同内容合格地履行服务义务后，凭验收报告、销售发票到采购单位办理合同款结算手续。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结付期限</w:t>
      </w:r>
      <w:r/>
    </w:p>
    <w:p>
      <w:pPr>
        <w:ind w:firstLine="480"/>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合同签订后支付合同总价款的 30%作为预付款；根据运维服务质量考核要求，项目验收合格（包含优秀）并经采购人确认后，支付合同总价款的70%；验收不合格，每少1分扣除项目总费用的1%累计。</w:t>
      </w:r>
      <w:r/>
    </w:p>
    <w:p>
      <w:pPr>
        <w:pStyle w:val="1273"/>
        <w:ind w:firstLine="482"/>
        <w:keepLines w:val="0"/>
        <w:keepNext w:val="0"/>
        <w:pageBreakBefore w:val="0"/>
        <w:spacing w:line="52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254"/>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三</w:t>
      </w:r>
      <w:r>
        <w:rPr>
          <w:rStyle w:val="1254"/>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投标货币</w:t>
      </w:r>
      <w:r/>
    </w:p>
    <w:p>
      <w:pPr>
        <w:pStyle w:val="1273"/>
        <w:ind w:firstLine="480"/>
        <w:keepLines w:val="0"/>
        <w:keepNext w:val="0"/>
        <w:pageBreakBefore w:val="0"/>
        <w:spacing w:line="520" w:lineRule="exact"/>
        <w:widowControl w:val="off"/>
        <w:rPr>
          <w:rStyle w:val="1254"/>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人民币。</w:t>
      </w:r>
      <w:r/>
    </w:p>
    <w:p>
      <w:pPr>
        <w:keepLines w:val="0"/>
        <w:keepNext w:val="0"/>
        <w:pageBreakBefore w:val="0"/>
        <w:spacing w:line="52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31" w:name="_Toc21032"/>
      <w:r>
        <w:rPr>
          <w:rFonts w:hint="eastAsia" w:ascii="宋体" w:hAnsi="宋体" w:eastAsia="宋体" w:cs="宋体"/>
          <w:b/>
          <w:color w:val="000000" w:themeColor="text1"/>
          <w:sz w:val="28"/>
          <w:szCs w:val="28"/>
          <w:highlight w:val="none"/>
          <w:lang w:val="en-US"/>
          <w14:textFill>
            <w14:solidFill>
              <w14:schemeClr w14:val="tx1"/>
            </w14:solidFill>
          </w14:textFill>
        </w:rPr>
        <w:t xml:space="preserve">四、其他部分</w:t>
      </w:r>
      <w:bookmarkEnd w:id="331"/>
      <w:r/>
      <w:r/>
    </w:p>
    <w:p>
      <w:pPr>
        <w:pStyle w:val="1088"/>
        <w:ind w:left="0" w:right="0" w:firstLine="0"/>
        <w:jc w:val="center"/>
        <w:keepLines w:val="0"/>
        <w:keepNext w:val="0"/>
        <w:pageBreakBefore w:val="0"/>
        <w:spacing w:before="181" w:after="181"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医院业务系统软件运维及接口服务包项目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质量考核要求</w:t>
      </w:r>
      <w:r/>
    </w:p>
    <w:tbl>
      <w:tblPr>
        <w:tblStyle w:val="10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23"/>
        <w:gridCol w:w="1656"/>
        <w:gridCol w:w="936"/>
        <w:gridCol w:w="3756"/>
        <w:gridCol w:w="1289"/>
        <w:gridCol w:w="803"/>
        <w:gridCol w:w="799"/>
      </w:tblGrid>
      <w:tr>
        <w:trPr>
          <w:trHeight w:val="567"/>
          <w:tblHeader/>
        </w:trPr>
        <w:tc>
          <w:tcPr>
            <w:shd w:val="clear" w:color="auto" w:fill="dbe3f4" w:themeFill="accent1" w:themeFillTint="3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评分项</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扣分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次数</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衡量指标</w:t>
            </w:r>
            <w:r/>
          </w:p>
        </w:tc>
        <w:tc>
          <w:tcPr>
            <w:shd w:val="clear" w:color="auto" w:fill="dbe3f4" w:themeFill="accent1" w:themeFillTint="32"/>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得分</w:t>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服务器例检</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每2个月对服务器进行例检服务，并提交例检报告，缺少1次扣2分，扣完为止。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缺少次数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运维月报</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每月总结日常运维情况，汇总本月重点问题需求进展情况和下月计划安排。缺少1次扣1分，扣完为止。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缺少次数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问题需求清单</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问题需求清单内容包括机构名称、提出人信息、问题需求描述、提出时间、解决措施、解决时间、处理人等信息，与运维月报同步提交。质量不合格，一次扣0.5分，扣完为止。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不合格次数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科室回访</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每月选择2个科室进行信息化回访，并反馈提交回访记录报告。缺少1次扣2分，扣完为止。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缺少次数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重大事件</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出现系统无法使用，服务人员应在30分钟内响应，协助排查。若出现无应答情况，出现一次扣5分，扣完为止。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无应答次数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投诉</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服务不满意用户发函正式投诉，一次扣2分。</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投诉次数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安全保障</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配合网络硬件集成做好安全防护，督导检查硬件备份情况。做好数据库每日备份。出现连续5个工作日数据库备份失败，未及时处理。出现一次扣2分，扣完为止。</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未及时处理次数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现场服务</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加分项</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根据单位申请，要求现场指导支持。现场服务人员提交现场服务支持单。一次现场服务支持单，加2分。</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服务单次数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66"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表扬信</w:t>
            </w:r>
            <w:r/>
          </w:p>
        </w:tc>
        <w:tc>
          <w:tcPr>
            <w:tcBorders>
              <w:top w:val="single" w:color="000000" w:sz="4" w:space="0"/>
              <w:left w:val="none" w:color="000000" w:sz="4" w:space="0"/>
              <w:bottom w:val="single" w:color="000000" w:sz="4" w:space="0"/>
              <w:right w:val="single" w:color="000000" w:sz="4" w:space="0"/>
            </w:tcBorders>
            <w:tcW w:w="404" w:type="pct"/>
            <w:vAlign w:val="center"/>
            <w:textDirection w:val="lrTb"/>
            <w:noWrap/>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加分项</w:t>
            </w:r>
            <w:r/>
          </w:p>
        </w:tc>
        <w:tc>
          <w:tcPr>
            <w:tcBorders>
              <w:top w:val="single" w:color="000000" w:sz="4" w:space="0"/>
              <w:left w:val="none" w:color="000000" w:sz="4" w:space="0"/>
              <w:bottom w:val="single" w:color="000000" w:sz="4" w:space="0"/>
              <w:right w:val="single" w:color="000000" w:sz="4" w:space="0"/>
            </w:tcBorders>
            <w:tcW w:w="1910" w:type="pct"/>
            <w:vAlign w:val="center"/>
            <w:textDirection w:val="lrTb"/>
            <w:noWrap w:val="false"/>
          </w:tcPr>
          <w:p>
            <w:pPr>
              <w:ind w:firstLine="0"/>
              <w:jc w:val="both"/>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服务满意，得到用户书面表扬信，一次加2分。</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bookmarkStart w:id="332" w:name="_Toc470898485"/>
            <w:r/>
            <w:bookmarkEnd w:id="332"/>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表扬信次数</w:t>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gridSpan w:val="4"/>
            <w:tcBorders>
              <w:top w:val="single" w:color="000000" w:sz="4" w:space="0"/>
              <w:left w:val="single" w:color="000000" w:sz="4" w:space="0"/>
              <w:bottom w:val="single" w:color="000000" w:sz="4" w:space="0"/>
              <w:right w:val="single" w:color="000000" w:sz="4" w:space="0"/>
            </w:tcBorders>
            <w:tcW w:w="3470" w:type="pct"/>
            <w:vAlign w:val="center"/>
            <w:textDirection w:val="lrTb"/>
            <w:noWrap/>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合计</w:t>
            </w:r>
            <w:r/>
          </w:p>
        </w:tc>
        <w:tc>
          <w:tcPr>
            <w:tcBorders>
              <w:top w:val="single" w:color="000000" w:sz="4" w:space="0"/>
              <w:left w:val="none" w:color="000000" w:sz="4" w:space="0"/>
              <w:bottom w:val="single" w:color="000000" w:sz="4" w:space="0"/>
              <w:right w:val="single" w:color="000000" w:sz="4" w:space="0"/>
            </w:tcBorders>
            <w:tcW w:w="673"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27" w:type="pct"/>
            <w:vAlign w:val="center"/>
            <w:textDirection w:val="lrTb"/>
            <w:noWrap w:val="false"/>
          </w:tcPr>
          <w:p>
            <w:pPr>
              <w:ind w:firstLine="0"/>
              <w:jc w:val="center"/>
              <w:keepLines w:val="0"/>
              <w:keepNext w:val="0"/>
              <w:pageBreakBefore w:val="0"/>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bl>
    <w:p>
      <w:pPr>
        <w:pStyle w:val="1088"/>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考核办法：在服务期内，取每月得分平均值作为年度总体得分，（1）80分及以上为优秀；（2）60（含60）-80分为合格；（3）低于60分为不合格。</w:t>
      </w:r>
      <w:r/>
    </w:p>
    <w:p>
      <w:pPr>
        <w:pStyle w:val="1273"/>
        <w:ind w:firstLine="480"/>
        <w:keepLines w:val="0"/>
        <w:keepNext w:val="0"/>
        <w:pageBreakBefore w:val="0"/>
        <w:spacing w:line="500" w:lineRule="exact"/>
        <w:widowControl/>
        <w:rPr>
          <w:rStyle w:val="1254"/>
          <w:rFonts w:hint="eastAsia" w:ascii="宋体" w:hAnsi="宋体" w:eastAsia="宋体" w:cs="宋体"/>
          <w:i w:val="0"/>
          <w:iCs/>
          <w:color w:val="000000" w:themeColor="text1"/>
          <w:spacing w:val="0"/>
          <w:sz w:val="24"/>
          <w:szCs w:val="24"/>
          <w:highlight w:val="none"/>
          <w:u w:val="none"/>
          <w14:textFill>
            <w14:solidFill>
              <w14:schemeClr w14:val="tx1"/>
            </w14:solidFill>
          </w14:textFill>
        </w:rPr>
        <w:sectPr>
          <w:headerReference w:type="default" r:id="rId17"/>
          <w:headerReference w:type="first" r:id="rId18"/>
          <w:footerReference w:type="default" r:id="rId29"/>
          <w:footerReference w:type="first" r:id="rId3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val="0"/>
          <w:iCs/>
          <w:color w:val="000000" w:themeColor="text1"/>
          <w:spacing w:val="0"/>
          <w:sz w:val="24"/>
          <w:szCs w:val="24"/>
          <w:highlight w:val="none"/>
          <w:u w:val="none"/>
          <w14:textFill>
            <w14:solidFill>
              <w14:schemeClr w14:val="tx1"/>
            </w14:solidFill>
          </w14:textFill>
        </w:rPr>
      </w:r>
      <w:r/>
    </w:p>
    <w:p>
      <w:pPr>
        <w:pStyle w:val="1246"/>
        <w:keepLines w:val="0"/>
        <w:keepNext w:val="0"/>
        <w:pageBreakBefore w:val="0"/>
        <w:spacing w:before="313" w:after="313" w:line="480" w:lineRule="exact"/>
        <w:rPr>
          <w:rFonts w:hint="eastAsia" w:ascii="宋体" w:hAnsi="宋体" w:eastAsia="宋体" w:cs="宋体"/>
          <w:color w:val="000000" w:themeColor="text1"/>
          <w:highlight w:val="none"/>
          <w14:textFill>
            <w14:solidFill>
              <w14:schemeClr w14:val="tx1"/>
            </w14:solidFill>
          </w14:textFill>
        </w:rPr>
      </w:pPr>
      <w:r/>
      <w:bookmarkStart w:id="333" w:name="_Toc35266029"/>
      <w:r/>
      <w:bookmarkStart w:id="334" w:name="_Toc9779"/>
      <w:r/>
      <w:bookmarkStart w:id="335" w:name="_Toc5882"/>
      <w:r/>
      <w:bookmarkStart w:id="336" w:name="_Toc38368129"/>
      <w:r/>
      <w:bookmarkStart w:id="337" w:name="_Toc14828"/>
      <w:r/>
      <w:bookmarkStart w:id="338" w:name="_Toc54615247"/>
      <w:r/>
      <w:bookmarkStart w:id="339" w:name="_Toc19919"/>
      <w:r/>
      <w:bookmarkStart w:id="340" w:name="_Toc687"/>
      <w:r>
        <w:rPr>
          <w:rFonts w:hint="eastAsia" w:ascii="宋体" w:hAnsi="宋体" w:eastAsia="宋体" w:cs="宋体"/>
          <w:color w:val="000000" w:themeColor="text1"/>
          <w:highlight w:val="none"/>
          <w14:textFill>
            <w14:solidFill>
              <w14:schemeClr w14:val="tx1"/>
            </w14:solidFill>
          </w14:textFill>
        </w:rPr>
        <w:t xml:space="preserve">第五章 评标方法与评标标准</w:t>
      </w:r>
      <w:bookmarkEnd w:id="333"/>
      <w:r/>
      <w:bookmarkEnd w:id="334"/>
      <w:r/>
      <w:bookmarkEnd w:id="335"/>
      <w:r/>
      <w:bookmarkEnd w:id="336"/>
      <w:r/>
      <w:bookmarkEnd w:id="337"/>
      <w:r/>
      <w:bookmarkEnd w:id="338"/>
      <w:r/>
      <w:bookmarkEnd w:id="339"/>
      <w:r/>
      <w:bookmarkEnd w:id="340"/>
      <w:r/>
      <w:r/>
    </w:p>
    <w:p>
      <w:pPr>
        <w:pStyle w:val="1274"/>
        <w:ind w:right="0"/>
        <w:keepLines w:val="0"/>
        <w:keepNext w:val="0"/>
        <w:pageBreakBefore w:val="0"/>
        <w:spacing w:line="520" w:lineRule="exact"/>
        <w:widowControl/>
        <w:rPr>
          <w:rStyle w:val="1254"/>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41" w:name="_Toc38368130"/>
      <w:r/>
      <w:bookmarkStart w:id="342" w:name="_Toc54615248"/>
      <w:r/>
      <w:bookmarkStart w:id="343" w:name="_Toc6812"/>
      <w:r/>
      <w:bookmarkStart w:id="344" w:name="_Toc20541"/>
      <w:r/>
      <w:bookmarkStart w:id="345" w:name="_Toc504"/>
      <w:r/>
      <w:bookmarkStart w:id="346" w:name="_Toc20893"/>
      <w:r/>
      <w:bookmarkStart w:id="347" w:name="_Toc15851"/>
      <w:r/>
      <w:bookmarkStart w:id="348" w:name="_Toc35266030"/>
      <w:r>
        <w:rPr>
          <w:rStyle w:val="1254"/>
          <w:rFonts w:hint="eastAsia" w:ascii="宋体" w:hAnsi="宋体" w:eastAsia="宋体" w:cs="宋体"/>
          <w:b/>
          <w:color w:val="000000" w:themeColor="text1"/>
          <w:sz w:val="28"/>
          <w:szCs w:val="28"/>
          <w:highlight w:val="none"/>
          <w14:textFill>
            <w14:solidFill>
              <w14:schemeClr w14:val="tx1"/>
            </w14:solidFill>
          </w14:textFill>
        </w:rPr>
        <w:t xml:space="preserve">一、评标方法与定标原则</w:t>
      </w:r>
      <w:bookmarkEnd w:id="341"/>
      <w:r/>
      <w:bookmarkEnd w:id="342"/>
      <w:r/>
      <w:bookmarkEnd w:id="343"/>
      <w:r/>
      <w:bookmarkEnd w:id="344"/>
      <w:r/>
      <w:bookmarkEnd w:id="345"/>
      <w:r/>
      <w:bookmarkEnd w:id="346"/>
      <w:r/>
      <w:bookmarkEnd w:id="347"/>
      <w:r/>
      <w:bookmarkEnd w:id="348"/>
      <w:r/>
      <w:r/>
    </w:p>
    <w:p>
      <w:pPr>
        <w:pStyle w:val="1275"/>
        <w:ind w:right="0" w:firstLine="480"/>
        <w:keepLines w:val="0"/>
        <w:keepNext w:val="0"/>
        <w:pageBreakBefore w:val="0"/>
        <w:spacing w:line="520" w:lineRule="exact"/>
        <w:shd w:val="clear" w:color="auto"/>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74"/>
        <w:ind w:right="0"/>
        <w:keepLines w:val="0"/>
        <w:keepNext w:val="0"/>
        <w:pageBreakBefore w:val="0"/>
        <w:spacing w:line="520" w:lineRule="exact"/>
        <w:widowControl/>
        <w:rPr>
          <w:rStyle w:val="1254"/>
          <w:rFonts w:hint="eastAsia" w:ascii="宋体" w:hAnsi="宋体" w:eastAsia="宋体" w:cs="宋体"/>
          <w:b/>
          <w:color w:val="000000" w:themeColor="text1"/>
          <w:spacing w:val="0"/>
          <w:highlight w:val="none"/>
          <w14:textFill>
            <w14:solidFill>
              <w14:schemeClr w14:val="tx1"/>
            </w14:solidFill>
          </w14:textFill>
        </w:rPr>
        <w:outlineLvl w:val="1"/>
      </w:pPr>
      <w:r/>
      <w:bookmarkStart w:id="349" w:name="EBd9567453f96a4fca96262d13cc886515"/>
      <w:r/>
      <w:bookmarkEnd w:id="349"/>
      <w:r/>
      <w:bookmarkStart w:id="350" w:name="EB4d4ec51fae08401e9c82e93d31b337cc"/>
      <w:r/>
      <w:bookmarkEnd w:id="350"/>
      <w:r/>
      <w:bookmarkStart w:id="351" w:name="_Toc3705"/>
      <w:r/>
      <w:bookmarkStart w:id="352" w:name="_Toc27494"/>
      <w:r/>
      <w:bookmarkStart w:id="353" w:name="_Toc24219"/>
      <w:r/>
      <w:bookmarkStart w:id="354" w:name="_Toc24442"/>
      <w:r/>
      <w:bookmarkStart w:id="355" w:name="_Toc17619"/>
      <w:r/>
      <w:bookmarkStart w:id="356" w:name="_Toc38368131"/>
      <w:r/>
      <w:bookmarkStart w:id="357" w:name="_Toc54615249"/>
      <w:r/>
      <w:bookmarkStart w:id="358" w:name="_Toc35266031"/>
      <w:r>
        <w:rPr>
          <w:rStyle w:val="1254"/>
          <w:rFonts w:hint="eastAsia" w:ascii="宋体" w:hAnsi="宋体" w:eastAsia="宋体" w:cs="宋体"/>
          <w:b/>
          <w:color w:val="000000" w:themeColor="text1"/>
          <w:spacing w:val="0"/>
          <w:sz w:val="28"/>
          <w:szCs w:val="28"/>
          <w:highlight w:val="none"/>
          <w14:textFill>
            <w14:solidFill>
              <w14:schemeClr w14:val="tx1"/>
            </w14:solidFill>
          </w14:textFill>
        </w:rPr>
        <w:t xml:space="preserve">二、评标标准</w:t>
      </w:r>
      <w:bookmarkEnd w:id="351"/>
      <w:r/>
      <w:bookmarkEnd w:id="352"/>
      <w:r/>
      <w:bookmarkEnd w:id="353"/>
      <w:r/>
      <w:bookmarkEnd w:id="354"/>
      <w:r/>
      <w:bookmarkEnd w:id="355"/>
      <w:r/>
      <w:bookmarkEnd w:id="356"/>
      <w:r/>
      <w:bookmarkEnd w:id="357"/>
      <w:r/>
      <w:bookmarkEnd w:id="358"/>
      <w:r/>
      <w:r/>
    </w:p>
    <w:p>
      <w:pPr>
        <w:pStyle w:val="1274"/>
        <w:ind w:right="0" w:firstLine="482"/>
        <w:keepLines w:val="0"/>
        <w:keepNext w:val="0"/>
        <w:pageBreakBefore w:val="0"/>
        <w:spacing w:line="520" w:lineRule="exact"/>
        <w:widowControl/>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bookmarkStart w:id="359" w:name="EB5eda7c9be7464788810dca94d24e634f"/>
      <w:r/>
      <w:bookmarkEnd w:id="359"/>
      <w:r>
        <w:rPr>
          <w:rStyle w:val="1254"/>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254"/>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一</w:t>
      </w:r>
      <w:r>
        <w:rPr>
          <w:rStyle w:val="1254"/>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价格分</w:t>
      </w:r>
      <w:r>
        <w:rPr>
          <w:rStyle w:val="1254"/>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25</w:t>
      </w: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分</w:t>
      </w:r>
      <w:r/>
    </w:p>
    <w:p>
      <w:pPr>
        <w:pStyle w:val="1274"/>
        <w:ind w:right="0" w:firstLine="480"/>
        <w:keepLines w:val="0"/>
        <w:keepNext w:val="0"/>
        <w:pageBreakBefore w:val="0"/>
        <w:spacing w:line="520" w:lineRule="exact"/>
        <w:widowControl/>
        <w:rPr>
          <w:rStyle w:val="1254"/>
          <w:rFonts w:hint="eastAsia" w:ascii="宋体" w:hAnsi="宋体" w:eastAsia="宋体" w:cs="宋体"/>
          <w:color w:val="000000" w:themeColor="text1"/>
          <w:spacing w:val="0"/>
          <w:sz w:val="24"/>
          <w:szCs w:val="24"/>
          <w:highlight w:val="none"/>
          <w14:textFill>
            <w14:solidFill>
              <w14:schemeClr w14:val="tx1"/>
            </w14:solidFill>
          </w14:textFill>
        </w:rPr>
      </w:pPr>
      <w:r>
        <w:rPr>
          <w:rStyle w:val="1254"/>
          <w:rFonts w:hint="eastAsia" w:ascii="宋体" w:hAnsi="宋体" w:eastAsia="宋体" w:cs="宋体"/>
          <w:color w:val="000000" w:themeColor="text1"/>
          <w:spacing w:val="0"/>
          <w:sz w:val="24"/>
          <w:szCs w:val="24"/>
          <w:highlight w:val="none"/>
          <w14:textFill>
            <w14:solidFill>
              <w14:schemeClr w14:val="tx1"/>
            </w14:solidFill>
          </w14:textFill>
        </w:rPr>
        <w:t xml:space="preserve">采用低价优先法计算，即满足招标文件要求且投标价格最低的投标价为评标基准价，其价格分为满分</w:t>
      </w:r>
      <w:r>
        <w:rPr>
          <w:rStyle w:val="1254"/>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25</w:t>
      </w:r>
      <w:r>
        <w:rPr>
          <w:rStyle w:val="1254"/>
          <w:rFonts w:hint="eastAsia" w:ascii="宋体" w:hAnsi="宋体" w:eastAsia="宋体" w:cs="宋体"/>
          <w:color w:val="000000" w:themeColor="text1"/>
          <w:spacing w:val="0"/>
          <w:sz w:val="24"/>
          <w:szCs w:val="24"/>
          <w:highlight w:val="none"/>
          <w14:textFill>
            <w14:solidFill>
              <w14:schemeClr w14:val="tx1"/>
            </w14:solidFill>
          </w14:textFill>
        </w:rPr>
        <w:t xml:space="preserve">分。其他投标人的价格分统一按照下列公式计算：</w:t>
      </w:r>
      <w:r/>
    </w:p>
    <w:p>
      <w:pPr>
        <w:pStyle w:val="1274"/>
        <w:ind w:right="0" w:firstLine="480"/>
        <w:keepLines w:val="0"/>
        <w:keepNext w:val="0"/>
        <w:pageBreakBefore w:val="0"/>
        <w:spacing w:line="520" w:lineRule="exact"/>
        <w:widowControl/>
        <w:rPr>
          <w:rStyle w:val="1254"/>
          <w:rFonts w:hint="eastAsia" w:ascii="宋体" w:hAnsi="宋体" w:eastAsia="宋体" w:cs="宋体"/>
          <w:color w:val="000000" w:themeColor="text1"/>
          <w:spacing w:val="0"/>
          <w:sz w:val="24"/>
          <w:szCs w:val="24"/>
          <w:highlight w:val="none"/>
          <w14:textFill>
            <w14:solidFill>
              <w14:schemeClr w14:val="tx1"/>
            </w14:solidFill>
          </w14:textFill>
        </w:rPr>
      </w:pPr>
      <w:r>
        <w:rPr>
          <w:rStyle w:val="1254"/>
          <w:rFonts w:hint="eastAsia" w:ascii="宋体" w:hAnsi="宋体" w:eastAsia="宋体" w:cs="宋体"/>
          <w:color w:val="000000" w:themeColor="text1"/>
          <w:spacing w:val="0"/>
          <w:sz w:val="24"/>
          <w:szCs w:val="24"/>
          <w:highlight w:val="none"/>
          <w14:textFill>
            <w14:solidFill>
              <w14:schemeClr w14:val="tx1"/>
            </w14:solidFill>
          </w14:textFill>
        </w:rPr>
        <w:t xml:space="preserve">投标报价得分=（评标基准价/投标报价）*</w:t>
      </w:r>
      <w:r>
        <w:rPr>
          <w:rStyle w:val="1254"/>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25</w:t>
      </w:r>
      <w:r>
        <w:rPr>
          <w:rStyle w:val="1254"/>
          <w:rFonts w:hint="eastAsia" w:ascii="宋体" w:hAnsi="宋体" w:eastAsia="宋体" w:cs="宋体"/>
          <w:color w:val="000000" w:themeColor="text1"/>
          <w:spacing w:val="0"/>
          <w:sz w:val="24"/>
          <w:szCs w:val="24"/>
          <w:highlight w:val="none"/>
          <w14:textFill>
            <w14:solidFill>
              <w14:schemeClr w14:val="tx1"/>
            </w14:solidFill>
          </w14:textFill>
        </w:rPr>
        <w:t xml:space="preserve">%*100（保留二位小数）</w:t>
      </w:r>
      <w:r>
        <w:rPr>
          <w:rStyle w:val="1254"/>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pStyle w:val="1069"/>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lang w:val="en-US" w:eastAsia="zh-CN" w:bidi="ar-SA"/>
          <w14:textFill>
            <w14:solidFill>
              <w14:schemeClr w14:val="tx1"/>
            </w14:solidFill>
          </w14:textFill>
        </w:rPr>
        <w:t xml:space="preserve">（二）技术方案分</w:t>
      </w:r>
      <w:r>
        <w:rPr>
          <w:rFonts w:hint="eastAsia" w:ascii="宋体" w:hAnsi="宋体" w:cs="宋体"/>
          <w:b/>
          <w:bCs/>
          <w:caps w:val="0"/>
          <w:color w:val="000000" w:themeColor="text1"/>
          <w:spacing w:val="0"/>
          <w:sz w:val="24"/>
          <w:szCs w:val="24"/>
          <w:highlight w:val="none"/>
          <w:lang w:val="en-US" w:eastAsia="zh-CN" w:bidi="ar-SA"/>
          <w14:textFill>
            <w14:solidFill>
              <w14:schemeClr w14:val="tx1"/>
            </w14:solidFill>
          </w14:textFill>
        </w:rPr>
        <w:t xml:space="preserve">45</w:t>
      </w:r>
      <w:r>
        <w:rPr>
          <w:rFonts w:hint="eastAsia" w:ascii="宋体" w:hAnsi="宋体" w:eastAsia="宋体" w:cs="宋体"/>
          <w:b/>
          <w:bCs/>
          <w:caps w:val="0"/>
          <w:color w:val="000000" w:themeColor="text1"/>
          <w:spacing w:val="0"/>
          <w:sz w:val="24"/>
          <w:szCs w:val="24"/>
          <w:highlight w:val="none"/>
          <w:lang w:val="en-US" w:eastAsia="zh-CN" w:bidi="ar-SA"/>
          <w14:textFill>
            <w14:solidFill>
              <w14:schemeClr w14:val="tx1"/>
            </w14:solidFill>
          </w14:textFill>
        </w:rPr>
        <w:t xml:space="preserve">分</w:t>
      </w:r>
      <w:r/>
    </w:p>
    <w:p>
      <w:pPr>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1．运行维护管理方案</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9</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投标人针对本项目提供的运行维护管理方案</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包括但不限于统一服务入口</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、日常服务流程、服务标准、应急响应、迁移服务、接口服务包、服务模块清单、服务套餐内容</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等</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方案完全包含上述内容且内容有实质性意义的，得</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9</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分；方案基本包含上述内容且部分内容有实质性意义的，得</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6</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分；方案内容有部分缺少或部分内容无实质性意义的，得</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3</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分；方案内容缺少较多或内容无实质性意义的，得1分；未作说明的不得分。</w:t>
      </w:r>
      <w:r/>
    </w:p>
    <w:p>
      <w:pPr>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2．运维制度与规范方案</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9</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投标人针对本项目提供的运维制度与规范方案</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包括但不限于服务时间、行为规范、应急处理规范等。方案完全包含上述内容且内容有实质性意义的，得9分；方案基本包含上述内容且部分内容有实质性意义的，得6分；方案内容有部分缺少或部分内容无实质性意义的，得3分；方案内容缺少较多或内容无实质性意义的，得1分；未作说明的不得分。</w:t>
      </w:r>
      <w:r/>
    </w:p>
    <w:p>
      <w:pPr>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3．应急故障维护方案</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9</w:t>
      </w: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投标人针对本项目提供的应急故障维护方案</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包括但不限于故障类型</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分析、</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应急工作内容</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、应急处理流程</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等。方案完全包含上述内容且内容有实质性意义的，得9分；方案基本包含上述内容且部分内容有实质性意义的，得6分；方案内容有部分缺少或部分内容无实质性意义的，得3分；方案内容缺少较多或内容无实质性意义的，得1分；未作说明的不得分。</w:t>
      </w:r>
      <w:r/>
    </w:p>
    <w:p>
      <w:pPr>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4．重大活动保障方案9分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投标人针对本项目提供的重大活动保障方案</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包括但不限于重大节假日的运维保障服务</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、突发事件应急预案</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等。方案完全包含上述内容且内容有实质性意义的，得9分；方案基本包含上述内容且部分内容有实质性意义的，得6分；方案内容有部分缺少或部分内容无实质性意义的，得3分；方案内容缺少较多或内容无实质性意义的，得1分；未作说明的不得分。</w:t>
      </w:r>
      <w:r/>
    </w:p>
    <w:p>
      <w:pPr>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5．培训方案9分</w:t>
      </w:r>
      <w:r/>
    </w:p>
    <w:p>
      <w:pPr>
        <w:ind w:right="0" w:firstLine="480"/>
        <w:keepLines w:val="0"/>
        <w:keepNext w:val="0"/>
        <w:pageBreakBefore w:val="0"/>
        <w:spacing w:line="520" w:lineRule="exact"/>
        <w:widowControl w:val="off"/>
        <w:rPr>
          <w:rFonts w:hint="default" w:ascii="宋体" w:hAnsi="宋体" w:eastAsia="宋体" w:cs="宋体"/>
          <w:b w:val="0"/>
          <w:bCs w:val="0"/>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投标人针对本项目提供的培训方案</w:t>
      </w:r>
      <w:r>
        <w:rPr>
          <w:rFonts w:hint="eastAsia" w:ascii="宋体" w:hAnsi="宋体" w:cs="宋体"/>
          <w:b w:val="0"/>
          <w:bCs w:val="0"/>
          <w:caps w:val="0"/>
          <w:color w:val="000000" w:themeColor="text1"/>
          <w:spacing w:val="0"/>
          <w:sz w:val="24"/>
          <w:highlight w:val="none"/>
          <w:lang w:val="en-US" w:eastAsia="zh-CN"/>
          <w14:textFill>
            <w14:solidFill>
              <w14:schemeClr w14:val="tx1"/>
            </w14:solidFill>
          </w14:textFill>
        </w:rPr>
        <w:t xml:space="preserve">，</w:t>
      </w:r>
      <w:r>
        <w:rPr>
          <w:rFonts w:hint="eastAsia" w:ascii="宋体" w:hAnsi="宋体" w:eastAsia="宋体" w:cs="宋体"/>
          <w:b w:val="0"/>
          <w:bCs w:val="0"/>
          <w:caps w:val="0"/>
          <w:color w:val="000000" w:themeColor="text1"/>
          <w:spacing w:val="0"/>
          <w:sz w:val="24"/>
          <w:highlight w:val="none"/>
          <w:lang w:val="en-US" w:eastAsia="zh-CN"/>
          <w14:textFill>
            <w14:solidFill>
              <w14:schemeClr w14:val="tx1"/>
            </w14:solidFill>
          </w14:textFill>
        </w:rPr>
        <w:t xml:space="preserve">包括但不限于培训内容、培训时间、培训方式、培训考核、培训讲师等。方案完全包含上述内容且内容有实质性意义的，得9分；方案基本包含上述内容且部分内容有实质性意义的，得6分；方案内容有部分缺少或部分内容无实质性意义的，得3分；方案内容缺少较多或内容无实质性意义的，得1分；未作说明的不得分。</w:t>
      </w:r>
      <w:r/>
    </w:p>
    <w:p>
      <w:pPr>
        <w:pStyle w:val="1069"/>
        <w:ind w:right="0" w:firstLine="482"/>
        <w:keepLines w:val="0"/>
        <w:keepNext w:val="0"/>
        <w:pageBreakBefore w:val="0"/>
        <w:spacing w:line="520" w:lineRule="exact"/>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lang w:val="en-US" w:eastAsia="zh-CN" w:bidi="ar-SA"/>
          <w14:textFill>
            <w14:solidFill>
              <w14:schemeClr w14:val="tx1"/>
            </w14:solidFill>
          </w14:textFill>
        </w:rPr>
        <w:t xml:space="preserve">（三）人员配置分</w:t>
      </w:r>
      <w:r>
        <w:rPr>
          <w:rFonts w:hint="eastAsia" w:ascii="宋体" w:hAnsi="宋体" w:cs="宋体"/>
          <w:b/>
          <w:bCs/>
          <w:caps w:val="0"/>
          <w:color w:val="000000" w:themeColor="text1"/>
          <w:spacing w:val="0"/>
          <w:sz w:val="24"/>
          <w:szCs w:val="24"/>
          <w:highlight w:val="none"/>
          <w:lang w:val="en-US" w:eastAsia="zh-CN" w:bidi="ar-SA"/>
          <w14:textFill>
            <w14:solidFill>
              <w14:schemeClr w14:val="tx1"/>
            </w14:solidFill>
          </w14:textFill>
        </w:rPr>
        <w:t xml:space="preserve">12</w:t>
      </w:r>
      <w:r>
        <w:rPr>
          <w:rFonts w:hint="eastAsia" w:ascii="宋体" w:hAnsi="宋体" w:eastAsia="宋体" w:cs="宋体"/>
          <w:b/>
          <w:bCs/>
          <w:caps w:val="0"/>
          <w:color w:val="000000" w:themeColor="text1"/>
          <w:spacing w:val="0"/>
          <w:sz w:val="24"/>
          <w:szCs w:val="24"/>
          <w:highlight w:val="none"/>
          <w:lang w:val="en-US" w:eastAsia="zh-CN" w:bidi="ar-SA"/>
          <w14:textFill>
            <w14:solidFill>
              <w14:schemeClr w14:val="tx1"/>
            </w14:solidFill>
          </w14:textFill>
        </w:rPr>
        <w:t xml:space="preserve">分</w:t>
      </w:r>
      <w:r/>
    </w:p>
    <w:p>
      <w:pPr>
        <w:ind w:right="0" w:firstLine="480"/>
        <w:keepLines w:val="0"/>
        <w:keepNext w:val="0"/>
        <w:pageBreakBefore w:val="0"/>
        <w:spacing w:line="520" w:lineRule="exact"/>
        <w:widowControl w:val="off"/>
        <w:rPr>
          <w:rFonts w:hint="default"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1</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项目负责人</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4分</w:t>
      </w:r>
      <w:r/>
    </w:p>
    <w:p>
      <w:pPr>
        <w:ind w:right="0" w:firstLine="480"/>
        <w:keepLines w:val="0"/>
        <w:keepNext w:val="0"/>
        <w:pageBreakBefore w:val="0"/>
        <w:spacing w:line="520" w:lineRule="exact"/>
        <w:widowControl w:val="off"/>
        <w:rPr>
          <w:rFonts w:hint="eastAsia" w:ascii="宋体" w:hAnsi="宋体" w:eastAsia="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投标人拟投入本项目的</w:t>
      </w:r>
      <w:r>
        <w:rPr>
          <w:rFonts w:hint="eastAsia" w:ascii="宋体" w:hAnsi="宋体" w:cs="宋体"/>
          <w:color w:val="000000" w:themeColor="text1"/>
          <w:sz w:val="24"/>
          <w:szCs w:val="24"/>
          <w:highlight w:val="none"/>
          <w:lang w:eastAsia="zh-CN"/>
          <w14:textFill>
            <w14:solidFill>
              <w14:schemeClr w14:val="tx1"/>
            </w14:solidFill>
          </w14:textFill>
        </w:rPr>
        <w:t xml:space="preserve">项目负责人（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与评分点2、3项人员不可重复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pacing w:val="0"/>
          <w:sz w:val="24"/>
          <w:highlight w:val="none"/>
          <w14:textFill>
            <w14:solidFill>
              <w14:schemeClr w14:val="tx1"/>
            </w14:solidFill>
          </w14:textFill>
        </w:rPr>
        <w:t xml:space="preserve">具</w:t>
      </w:r>
      <w:r>
        <w:rPr>
          <w:rFonts w:hint="eastAsia" w:ascii="宋体" w:hAnsi="宋体" w:cs="宋体"/>
          <w:caps w:val="0"/>
          <w:color w:val="000000" w:themeColor="text1"/>
          <w:spacing w:val="0"/>
          <w:sz w:val="24"/>
          <w:highlight w:val="none"/>
          <w:lang w:val="en-US" w:eastAsia="zh-CN"/>
          <w14:textFill>
            <w14:solidFill>
              <w14:schemeClr w14:val="tx1"/>
            </w14:solidFill>
          </w14:textFill>
        </w:rPr>
        <w:t xml:space="preserve">备中级工程师、</w:t>
      </w:r>
      <w:r>
        <w:rPr>
          <w:rFonts w:hint="eastAsia" w:ascii="宋体" w:hAnsi="宋体" w:eastAsia="宋体" w:cs="宋体"/>
          <w:caps w:val="0"/>
          <w:color w:val="000000" w:themeColor="text1"/>
          <w:spacing w:val="0"/>
          <w:sz w:val="24"/>
          <w:highlight w:val="none"/>
          <w14:textFill>
            <w14:solidFill>
              <w14:schemeClr w14:val="tx1"/>
            </w14:solidFill>
          </w14:textFill>
        </w:rPr>
        <w:t xml:space="preserve">信息系统项目管理师证书，每有一个得2分，</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最多得</w:t>
      </w:r>
      <w:r>
        <w:rPr>
          <w:rFonts w:hint="eastAsia" w:ascii="宋体" w:hAnsi="宋体" w:eastAsia="宋体" w:cs="宋体"/>
          <w:caps w:val="0"/>
          <w:color w:val="000000" w:themeColor="text1"/>
          <w:spacing w:val="0"/>
          <w:sz w:val="24"/>
          <w:highlight w:val="none"/>
          <w14:textFill>
            <w14:solidFill>
              <w14:schemeClr w14:val="tx1"/>
            </w14:solidFill>
          </w14:textFill>
        </w:rPr>
        <w:t xml:space="preserve">4分</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（请在投标文件中提供相关证书及投标人为其缴纳的社保证明材料，不提供或提供不全的不得分）</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w:t>
      </w:r>
      <w:r/>
    </w:p>
    <w:p>
      <w:pPr>
        <w:ind w:right="0" w:firstLine="480"/>
        <w:keepLines w:val="0"/>
        <w:keepNext w:val="0"/>
        <w:pageBreakBefore w:val="0"/>
        <w:spacing w:line="520" w:lineRule="exact"/>
        <w:widowControl w:val="off"/>
        <w:rPr>
          <w:rFonts w:hint="default"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2</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．网络</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安全</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工程师</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4分</w:t>
      </w:r>
      <w:r/>
    </w:p>
    <w:p>
      <w:pPr>
        <w:ind w:right="0" w:firstLine="480"/>
        <w:keepLines w:val="0"/>
        <w:keepNext w:val="0"/>
        <w:pageBreakBefore w:val="0"/>
        <w:spacing w:line="520" w:lineRule="exact"/>
        <w:widowControl w:val="off"/>
        <w:rPr>
          <w:rFonts w:hint="eastAsia" w:ascii="宋体" w:hAnsi="宋体" w:eastAsia="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投标人拟投入本项目的网络</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4"/>
          <w:szCs w:val="24"/>
          <w:highlight w:val="none"/>
          <w14:textFill>
            <w14:solidFill>
              <w14:schemeClr w14:val="tx1"/>
            </w14:solidFill>
          </w14:textFill>
        </w:rPr>
        <w:t xml:space="preserve">工程师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与评分点1、3项人员不可重复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通过国家</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信息安全水平认证（NISP）</w:t>
      </w:r>
      <w:r>
        <w:rPr>
          <w:rFonts w:hint="eastAsia" w:ascii="宋体" w:hAnsi="宋体" w:eastAsia="宋体" w:cs="宋体"/>
          <w:color w:val="000000" w:themeColor="text1"/>
          <w:sz w:val="24"/>
          <w:szCs w:val="24"/>
          <w:highlight w:val="none"/>
          <w14:textFill>
            <w14:solidFill>
              <w14:schemeClr w14:val="tx1"/>
            </w14:solidFill>
          </w14:textFill>
        </w:rPr>
        <w:t xml:space="preserve">的，有一个证书得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（请在投标文件中提供相关证书及投标人为其缴纳的社保证明材料，不提供或提供不全的不得分）</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w:t>
      </w:r>
      <w:r/>
    </w:p>
    <w:p>
      <w:pPr>
        <w:ind w:right="0" w:firstLine="480"/>
        <w:keepLines w:val="0"/>
        <w:keepNext w:val="0"/>
        <w:pageBreakBefore w:val="0"/>
        <w:spacing w:line="520" w:lineRule="exact"/>
        <w:widowControl w:val="off"/>
        <w:rPr>
          <w:rFonts w:hint="default" w:ascii="宋体" w:hAnsi="宋体" w:eastAsia="宋体" w:cs="宋体"/>
          <w:b/>
          <w:bCs/>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3</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．项目组成员</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4分</w:t>
      </w:r>
      <w:r/>
    </w:p>
    <w:p>
      <w:pPr>
        <w:ind w:right="0" w:firstLine="480"/>
        <w:keepLines w:val="0"/>
        <w:keepNext w:val="0"/>
        <w:pageBreakBefore w:val="0"/>
        <w:spacing w:line="520" w:lineRule="exact"/>
        <w:widowControl w:val="off"/>
        <w:rPr>
          <w:rFonts w:hint="eastAsia" w:ascii="宋体" w:hAnsi="宋体" w:eastAsia="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投标人拟投入本项目的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项目组成员（与评分点1、2项人员不可重复）</w:t>
      </w:r>
      <w:r>
        <w:rPr>
          <w:rFonts w:hint="eastAsia" w:ascii="宋体" w:hAnsi="宋体" w:eastAsia="宋体" w:cs="宋体"/>
          <w:color w:val="000000" w:themeColor="text1"/>
          <w:sz w:val="24"/>
          <w:szCs w:val="24"/>
          <w:highlight w:val="none"/>
          <w14:textFill>
            <w14:solidFill>
              <w14:schemeClr w14:val="tx1"/>
            </w14:solidFill>
          </w14:textFill>
        </w:rPr>
        <w:t xml:space="preserve">具有有效的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信息类的</w:t>
      </w:r>
      <w:r>
        <w:rPr>
          <w:rFonts w:hint="eastAsia" w:ascii="宋体" w:hAnsi="宋体" w:eastAsia="宋体" w:cs="宋体"/>
          <w:color w:val="000000" w:themeColor="text1"/>
          <w:sz w:val="24"/>
          <w:szCs w:val="24"/>
          <w:highlight w:val="none"/>
          <w14:textFill>
            <w14:solidFill>
              <w14:schemeClr w14:val="tx1"/>
            </w14:solidFill>
          </w14:textFill>
        </w:rPr>
        <w:t xml:space="preserve">中级或以上工程师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14:textFill>
            <w14:solidFill>
              <w14:schemeClr w14:val="tx1"/>
            </w14:solidFill>
          </w14:textFill>
        </w:rPr>
        <w:t xml:space="preserve">，有一个证书得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（请在投标文件中提供上述人员的相关证书及投标人为其缴纳的社保证明材料，不提供或提供不全的不得分）</w:t>
      </w:r>
      <w:r>
        <w:rPr>
          <w:rFonts w:hint="eastAsia" w:ascii="宋体" w:hAnsi="宋体" w:cs="宋体"/>
          <w:b/>
          <w:bCs/>
          <w:caps w:val="0"/>
          <w:color w:val="000000" w:themeColor="text1"/>
          <w:spacing w:val="0"/>
          <w:sz w:val="24"/>
          <w:highlight w:val="none"/>
          <w:lang w:eastAsia="zh-CN"/>
          <w14:textFill>
            <w14:solidFill>
              <w14:schemeClr w14:val="tx1"/>
            </w14:solidFill>
          </w14:textFill>
        </w:rPr>
        <w:t xml:space="preserve">。</w:t>
      </w:r>
      <w:r/>
    </w:p>
    <w:p>
      <w:pPr>
        <w:ind w:right="0" w:firstLine="482"/>
        <w:keepLines w:val="0"/>
        <w:keepNext w:val="0"/>
        <w:pageBreakBefore w:val="0"/>
        <w:spacing w:line="520" w:lineRule="exact"/>
        <w:shd w:val="clear" w:color="auto" w:fill="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w:t>
      </w: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四</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）履约能力分</w:t>
      </w: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18</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分</w:t>
      </w:r>
      <w:r/>
    </w:p>
    <w:p>
      <w:pPr>
        <w:ind w:right="0" w:firstLine="480"/>
        <w:keepLines w:val="0"/>
        <w:keepNext w:val="0"/>
        <w:pageBreakBefore w:val="0"/>
        <w:spacing w:line="520" w:lineRule="exact"/>
        <w:shd w:val="clear" w:color="auto" w:fill="auto"/>
        <w:widowControl w:val="off"/>
        <w:rPr>
          <w:rFonts w:hint="default"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．类似业绩</w:t>
      </w: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9分</w:t>
      </w:r>
      <w:r/>
    </w:p>
    <w:p>
      <w:pPr>
        <w:ind w:right="0"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投标人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提供202</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年</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1月1日</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以来的类似项目</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业绩</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每提供</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一</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份</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分，最多得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9</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w:t>
      </w:r>
      <w:r>
        <w:rPr>
          <w:rFonts w:hint="eastAsia" w:ascii="宋体" w:hAnsi="宋体" w:eastAsia="宋体" w:cs="宋体"/>
          <w:b/>
          <w:bCs/>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以合同签订时间为准，请在投标文件中提供</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相关</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合同</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证明</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合同中须反映出相关内容，如合同中不能反映，须提供其他材料予以佐证，</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不提供不得分</w:t>
      </w:r>
      <w:r>
        <w:rPr>
          <w:rFonts w:hint="eastAsia" w:ascii="宋体" w:hAnsi="宋体" w:eastAsia="宋体" w:cs="宋体"/>
          <w:b/>
          <w:bCs/>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w:t>
      </w:r>
      <w:r/>
    </w:p>
    <w:p>
      <w:pPr>
        <w:ind w:right="0" w:firstLine="480"/>
        <w:keepLines w:val="0"/>
        <w:keepNext w:val="0"/>
        <w:pageBreakBefore w:val="0"/>
        <w:spacing w:line="520" w:lineRule="exact"/>
        <w:shd w:val="clear" w:color="auto" w:fill="auto"/>
        <w:widowControl w:val="off"/>
        <w:rPr>
          <w:rFonts w:hint="default"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．投标人获得的相关证书</w:t>
      </w:r>
      <w:r>
        <w:rPr>
          <w:rFonts w:hint="eastAsia" w:ascii="宋体" w:hAnsi="宋体" w:cs="宋体"/>
          <w:b/>
          <w:bCs/>
          <w:caps w:val="0"/>
          <w:color w:val="000000" w:themeColor="text1"/>
          <w:spacing w:val="0"/>
          <w:sz w:val="24"/>
          <w:szCs w:val="24"/>
          <w:highlight w:val="none"/>
          <w:lang w:val="en-US" w:eastAsia="zh-CN"/>
          <w14:textFill>
            <w14:solidFill>
              <w14:schemeClr w14:val="tx1"/>
            </w14:solidFill>
          </w14:textFill>
        </w:rPr>
        <w:t xml:space="preserve">9分</w:t>
      </w:r>
      <w:r/>
    </w:p>
    <w:p>
      <w:pPr>
        <w:ind w:right="0"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投标人提供有效期内的信息安全管理体系认证、质量管理体系认证证书、信息技术服务管理体系认证证书，每提供</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一</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个得3分，</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最多得</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9</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分</w:t>
      </w:r>
      <w:r>
        <w:rPr>
          <w:rStyle w:val="1065"/>
          <w:rFonts w:hint="eastAsia" w:ascii="宋体" w:hAnsi="宋体" w:eastAsia="宋体" w:cs="宋体"/>
          <w:b/>
          <w:bCs/>
          <w:color w:val="000000" w:themeColor="text1"/>
          <w:spacing w:val="0"/>
          <w:sz w:val="24"/>
          <w:highlight w:val="none"/>
          <w:lang w:val="en-US" w:eastAsia="zh-CN"/>
          <w14:textFill>
            <w14:solidFill>
              <w14:schemeClr w14:val="tx1"/>
            </w14:solidFill>
          </w14:textFill>
        </w:rPr>
        <w:t xml:space="preserve">（请在投标文件中提供相关证明材料，不提供不得分）</w:t>
      </w:r>
      <w:r>
        <w:rPr>
          <w:rFonts w:hint="eastAsia" w:ascii="宋体" w:hAnsi="宋体" w:eastAsia="宋体" w:cs="宋体"/>
          <w:b/>
          <w:bCs/>
          <w:caps w:val="0"/>
          <w:color w:val="000000" w:themeColor="text1"/>
          <w:spacing w:val="0"/>
          <w:sz w:val="24"/>
          <w:szCs w:val="24"/>
          <w:highlight w:val="none"/>
          <w:lang w:val="en-US" w:eastAsia="zh-CN"/>
          <w14:textFill>
            <w14:solidFill>
              <w14:schemeClr w14:val="tx1"/>
            </w14:solidFill>
          </w14:textFill>
        </w:rPr>
        <w:t xml:space="preserve">。</w:t>
      </w:r>
      <w:r/>
    </w:p>
    <w:p>
      <w:pPr>
        <w:ind w:right="0" w:firstLine="480"/>
        <w:keepLines w:val="0"/>
        <w:keepNext w:val="0"/>
        <w:pageBreakBefore w:val="0"/>
        <w:spacing w:line="52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r>
      <w:r/>
    </w:p>
    <w:p>
      <w:pPr>
        <w:ind w:right="0" w:firstLine="480"/>
        <w:keepLines w:val="0"/>
        <w:keepNext w:val="0"/>
        <w:pageBreakBefore w:val="0"/>
        <w:spacing w:line="52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r>
      <w:r/>
    </w:p>
    <w:p>
      <w:pPr>
        <w:ind w:right="0" w:firstLine="480"/>
        <w:keepLines w:val="0"/>
        <w:keepNext w:val="0"/>
        <w:pageBreakBefore w:val="0"/>
        <w:spacing w:line="520" w:lineRule="exact"/>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注</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以上证明材料请在投标文件中提供原件扫描件或者电子件，不提供不得分。</w:t>
      </w:r>
      <w:bookmarkEnd w:id="321"/>
      <w:r/>
      <w:bookmarkEnd w:id="322"/>
      <w:r/>
      <w:bookmarkEnd w:id="327"/>
      <w:r/>
      <w:r/>
    </w:p>
    <w:p>
      <w:pPr>
        <w:ind w:right="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19"/>
          <w:headerReference w:type="first" r:id="rId20"/>
          <w:footerReference w:type="default" r:id="rId31"/>
          <w:footerReference w:type="first" r:id="rId3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46"/>
        <w:spacing w:before="313" w:after="313"/>
        <w:rPr>
          <w:rFonts w:hint="eastAsia" w:ascii="宋体" w:hAnsi="宋体" w:eastAsia="宋体" w:cs="宋体"/>
          <w:color w:val="000000" w:themeColor="text1"/>
          <w:highlight w:val="none"/>
          <w14:textFill>
            <w14:solidFill>
              <w14:schemeClr w14:val="tx1"/>
            </w14:solidFill>
          </w14:textFill>
        </w:rPr>
      </w:pPr>
      <w:r/>
      <w:bookmarkStart w:id="360" w:name="_Toc11445"/>
      <w:r/>
      <w:bookmarkStart w:id="361" w:name="_Toc20359"/>
      <w:r/>
      <w:bookmarkStart w:id="362" w:name="_Toc21238"/>
      <w:r/>
      <w:bookmarkStart w:id="363" w:name="_Toc19751"/>
      <w:r/>
      <w:bookmarkStart w:id="364" w:name="_Toc35266032"/>
      <w:r/>
      <w:bookmarkStart w:id="365" w:name="_Toc5859"/>
      <w:r/>
      <w:bookmarkStart w:id="366" w:name="_Toc54615250"/>
      <w:r/>
      <w:bookmarkStart w:id="367" w:name="_Toc38368132"/>
      <w:r>
        <w:rPr>
          <w:rFonts w:hint="eastAsia" w:ascii="宋体" w:hAnsi="宋体" w:eastAsia="宋体" w:cs="宋体"/>
          <w:color w:val="000000" w:themeColor="text1"/>
          <w:highlight w:val="none"/>
          <w14:textFill>
            <w14:solidFill>
              <w14:schemeClr w14:val="tx1"/>
            </w14:solidFill>
          </w14:textFill>
        </w:rPr>
        <w:t xml:space="preserve">第六章 投标文件格式</w:t>
      </w:r>
      <w:bookmarkEnd w:id="360"/>
      <w:r/>
      <w:bookmarkEnd w:id="361"/>
      <w:r/>
      <w:bookmarkEnd w:id="362"/>
      <w:r/>
      <w:bookmarkEnd w:id="363"/>
      <w:r/>
      <w:bookmarkEnd w:id="364"/>
      <w:r/>
      <w:bookmarkEnd w:id="365"/>
      <w:r/>
      <w:bookmarkEnd w:id="366"/>
      <w:r/>
      <w:bookmarkEnd w:id="367"/>
      <w:r/>
      <w:r/>
    </w:p>
    <w:p>
      <w:pPr>
        <w:pStyle w:val="1277"/>
        <w:jc w:val="center"/>
        <w:spacing w:before="157" w:after="157"/>
        <w:rPr>
          <w:rStyle w:val="1254"/>
          <w:rFonts w:hint="eastAsia" w:ascii="宋体" w:hAnsi="宋体" w:eastAsia="宋体" w:cs="宋体"/>
          <w:color w:val="000000" w:themeColor="text1"/>
          <w:sz w:val="40"/>
          <w:szCs w:val="40"/>
          <w:highlight w:val="none"/>
          <w14:textFill>
            <w14:solidFill>
              <w14:schemeClr w14:val="tx1"/>
            </w14:solidFill>
          </w14:textFill>
        </w:rPr>
      </w:pPr>
      <w:r>
        <w:rPr>
          <w:rStyle w:val="1254"/>
          <w:rFonts w:hint="eastAsia" w:ascii="宋体" w:hAnsi="宋体" w:eastAsia="宋体" w:cs="宋体"/>
          <w:color w:val="000000" w:themeColor="text1"/>
          <w:sz w:val="40"/>
          <w:szCs w:val="40"/>
          <w:highlight w:val="none"/>
          <w14:textFill>
            <w14:solidFill>
              <w14:schemeClr w14:val="tx1"/>
            </w14:solidFill>
          </w14:textFill>
        </w:rPr>
        <w:t xml:space="preserve">投标主要文件目录</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一、封面</w:t>
      </w:r>
      <w:r/>
    </w:p>
    <w:p>
      <w:pPr>
        <w:pStyle w:val="1277"/>
        <w:jc w:val="left"/>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二、投标函</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三、开标一览表</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四</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w:t>
      </w: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资格证明文件</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五</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、经费测算明细表</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六</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、第四章项目需求中实质性要求响应对照表</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七</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、服务方案</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八</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、投标人情况介绍</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九</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、技术要求响应及偏离表</w:t>
      </w:r>
      <w:r/>
    </w:p>
    <w:p>
      <w:pPr>
        <w:pStyle w:val="1277"/>
        <w:keepLines w:val="0"/>
        <w:keepNext w:val="0"/>
        <w:pageBreakBefore w:val="0"/>
        <w:spacing w:line="480" w:lineRule="auto"/>
        <w:widowControl/>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十、商务条款响应及偏离表</w:t>
      </w:r>
      <w:r/>
    </w:p>
    <w:p>
      <w:pPr>
        <w:pStyle w:val="1277"/>
        <w:keepLines w:val="0"/>
        <w:keepNext w:val="0"/>
        <w:pageBreakBefore w:val="0"/>
        <w:spacing w:line="480" w:lineRule="auto"/>
        <w:widowControl/>
        <w:rPr>
          <w:rStyle w:val="1254"/>
          <w:rFonts w:hint="eastAsia" w:ascii="宋体" w:hAnsi="宋体" w:eastAsia="宋体" w:cs="宋体"/>
          <w:color w:val="000000" w:themeColor="text1"/>
          <w:sz w:val="32"/>
          <w:szCs w:val="32"/>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十一</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、其他材料</w:t>
      </w:r>
      <w:r/>
    </w:p>
    <w:p>
      <w:pPr>
        <w:pStyle w:val="1278"/>
        <w:jc w:val="left"/>
        <w:keepLines w:val="0"/>
        <w:keepNext w:val="0"/>
        <w:pageBreakBefore w:val="0"/>
        <w:spacing w:line="40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254"/>
          <w:rFonts w:hint="eastAsia" w:ascii="宋体" w:hAnsi="宋体" w:eastAsia="宋体" w:cs="宋体"/>
          <w:color w:val="000000" w:themeColor="text1"/>
          <w:highlight w:val="none"/>
          <w14:textFill>
            <w14:solidFill>
              <w14:schemeClr w14:val="tx1"/>
            </w14:solidFill>
          </w14:textFill>
        </w:rPr>
        <w:br w:type="page" w:clear="all"/>
      </w:r>
      <w:bookmarkStart w:id="368" w:name="_Toc24520"/>
      <w:r/>
      <w:bookmarkStart w:id="369" w:name="_Toc31370"/>
      <w:r/>
      <w:bookmarkStart w:id="370" w:name="_Toc16302"/>
      <w:r/>
      <w:bookmarkStart w:id="371" w:name="_Toc10661"/>
      <w:r/>
      <w:bookmarkStart w:id="372" w:name="_Toc10154"/>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一、封面</w:t>
      </w:r>
      <w:bookmarkEnd w:id="368"/>
      <w:r/>
      <w:bookmarkEnd w:id="369"/>
      <w:r/>
      <w:bookmarkEnd w:id="370"/>
      <w:r/>
      <w:bookmarkEnd w:id="371"/>
      <w:r/>
      <w:bookmarkEnd w:id="372"/>
      <w:r/>
      <w:r/>
    </w:p>
    <w:p>
      <w:pPr>
        <w:pStyle w:val="1279"/>
        <w:jc w:val="center"/>
        <w:spacing w:before="540" w:after="540"/>
        <w:shd w:val="clear" w:color="auto" w:fill="auto"/>
        <w:rPr>
          <w:rStyle w:val="1254"/>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t xml:space="preserve">投 标 文 件</w:t>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ind w:firstLine="2530"/>
        <w:jc w:val="both"/>
        <w:spacing w:before="360" w:after="360"/>
        <w:shd w:val="clear" w:color="auto" w:fill="auto"/>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项目名称：</w:t>
      </w:r>
      <w:r>
        <w:rPr>
          <w:rStyle w:val="1254"/>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279"/>
        <w:ind w:firstLine="2530"/>
        <w:jc w:val="both"/>
        <w:spacing w:before="360" w:after="360"/>
        <w:shd w:val="clear" w:color="auto" w:fill="auto"/>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招标编号：</w:t>
      </w:r>
      <w:r>
        <w:rPr>
          <w:rStyle w:val="1254"/>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79"/>
        <w:ind w:firstLine="2168"/>
        <w:jc w:val="both"/>
        <w:spacing w:before="360" w:after="360"/>
        <w:shd w:val="clear" w:color="auto" w:fill="auto"/>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投标人名称：</w:t>
      </w:r>
      <w:r>
        <w:rPr>
          <w:rStyle w:val="1254"/>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279"/>
        <w:ind w:firstLine="2168"/>
        <w:jc w:val="both"/>
        <w:spacing w:before="360" w:after="360"/>
        <w:shd w:val="clear" w:color="auto" w:fill="auto"/>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日</w:t>
      </w: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      </w:t>
      </w: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期：</w:t>
      </w:r>
      <w:r>
        <w:rPr>
          <w:rStyle w:val="1254"/>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279"/>
        <w:jc w:val="both"/>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280"/>
        <w:jc w:val="both"/>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0"/>
        <w:jc w:val="both"/>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373" w:name="_Toc28507"/>
      <w:r/>
      <w:bookmarkStart w:id="374" w:name="_Toc19488"/>
      <w:r/>
      <w:bookmarkStart w:id="375" w:name="_Toc8810"/>
      <w:r/>
      <w:bookmarkStart w:id="376" w:name="_Toc3182"/>
      <w:r/>
      <w:bookmarkStart w:id="377" w:name="_Toc27453"/>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二、投标函</w:t>
      </w:r>
      <w:bookmarkEnd w:id="373"/>
      <w:r/>
      <w:bookmarkEnd w:id="374"/>
      <w:r/>
      <w:bookmarkEnd w:id="375"/>
      <w:r/>
      <w:bookmarkEnd w:id="376"/>
      <w:r/>
      <w:bookmarkEnd w:id="377"/>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投标函</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致：</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苏州政合信咨询管理服务有限公司</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根据贵方的</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号招标文件，正式授权下述签字人</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（姓名和职务）代表我方</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（投标人名称），全权处理本次项目投标的有关事宜。</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据此函，签字人兹宣布同意如下：</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同意向贵方提供贵方可能另外要求的与投标有关的任何证据或资料；</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我们完全理解贵方不一定将合同授予最低报价的投标人；</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我们已详细审核全部招标文件及其有效补充文件，我们知道必须放弃提出含糊不清或误解问题的权利；</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4</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一旦我方中标，我们将根据招标文件的规定，严格履行合同条款的责任和义务，并保证按照合同条款提供服务；</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5</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与本投标有关的正式通讯地址为：</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地址：</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邮编：</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电话：</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传真：</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代表姓名：</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名称：</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公章：</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日期：</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r>
      <w:r/>
    </w:p>
    <w:p>
      <w:pPr>
        <w:pStyle w:val="128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r>
      <w:r/>
    </w:p>
    <w:p>
      <w:pPr>
        <w:pStyle w:val="1283"/>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378" w:name="_Toc23994"/>
      <w:r/>
      <w:bookmarkStart w:id="379" w:name="_Toc9318"/>
      <w:r/>
      <w:bookmarkStart w:id="380" w:name="_Toc2722"/>
      <w:r/>
      <w:bookmarkStart w:id="381" w:name="_Toc32465"/>
      <w:r/>
      <w:bookmarkStart w:id="382" w:name="_Toc14654"/>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三、开标一览表</w:t>
      </w:r>
      <w:bookmarkEnd w:id="378"/>
      <w:r/>
      <w:bookmarkEnd w:id="379"/>
      <w:r/>
      <w:bookmarkEnd w:id="380"/>
      <w:r/>
      <w:bookmarkEnd w:id="381"/>
      <w:r/>
      <w:bookmarkEnd w:id="382"/>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开标一览表（总报价）</w:t>
      </w:r>
      <w:r/>
    </w:p>
    <w:p>
      <w:pPr>
        <w:pStyle w:val="1281"/>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全称（加盖公章）：</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1"/>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Style w:val="1254"/>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281"/>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1"/>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1"/>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1066"/>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1"/>
        <w:gridCol w:w="7198"/>
      </w:tblGrid>
      <w:tr>
        <w:trPr>
          <w:trHeight w:val="567"/>
        </w:trPr>
        <w:tc>
          <w:tcPr>
            <w:tcMar>
              <w:left w:w="0" w:type="dxa"/>
              <w:top w:w="0" w:type="dxa"/>
              <w:right w:w="0" w:type="dxa"/>
              <w:bottom w:w="0" w:type="dxa"/>
            </w:tcMar>
            <w:tcW w:w="2591" w:type="dxa"/>
            <w:vAlign w:val="center"/>
            <w:textDirection w:val="lrTb"/>
            <w:noWrap w:val="false"/>
          </w:tcPr>
          <w:p>
            <w:pPr>
              <w:pStyle w:val="1281"/>
              <w:jc w:val="center"/>
              <w:spacing w:line="240" w:lineRule="auto"/>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7198" w:type="dxa"/>
            <w:vAlign w:val="center"/>
            <w:textDirection w:val="lrTb"/>
            <w:noWrap w:val="false"/>
          </w:tcPr>
          <w:p>
            <w:pPr>
              <w:pStyle w:val="1281"/>
              <w:jc w:val="center"/>
              <w:spacing w:line="240" w:lineRule="auto"/>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t xml:space="preserve">投标总报价</w:t>
            </w:r>
            <w:r/>
          </w:p>
        </w:tc>
      </w:tr>
      <w:tr>
        <w:trPr>
          <w:trHeight w:val="1134"/>
        </w:trPr>
        <w:tc>
          <w:tcPr>
            <w:tcMar>
              <w:left w:w="0" w:type="dxa"/>
              <w:top w:w="0" w:type="dxa"/>
              <w:right w:w="0" w:type="dxa"/>
              <w:bottom w:w="0" w:type="dxa"/>
            </w:tcMar>
            <w:tcW w:w="2591" w:type="dxa"/>
            <w:vAlign w:val="center"/>
            <w:textDirection w:val="lrTb"/>
            <w:noWrap w:val="false"/>
          </w:tcPr>
          <w:p>
            <w:pPr>
              <w:pStyle w:val="1281"/>
              <w:jc w:val="center"/>
              <w:keepLines w:val="0"/>
              <w:keepNext w:val="0"/>
              <w:pageBreakBefore w:val="0"/>
              <w:spacing w:line="240" w:lineRule="auto"/>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医院业务系统软件运维及接口服务包项目</w:t>
            </w:r>
            <w:r/>
          </w:p>
        </w:tc>
        <w:tc>
          <w:tcPr>
            <w:tcMar>
              <w:left w:w="0" w:type="dxa"/>
              <w:top w:w="0" w:type="dxa"/>
              <w:right w:w="0" w:type="dxa"/>
              <w:bottom w:w="0" w:type="dxa"/>
            </w:tcMar>
            <w:tcW w:w="7198" w:type="dxa"/>
            <w:vAlign w:val="center"/>
            <w:textDirection w:val="lrTb"/>
            <w:noWrap w:val="false"/>
          </w:tcPr>
          <w:p>
            <w:pPr>
              <w:pStyle w:val="1281"/>
              <w:jc w:val="center"/>
              <w:spacing w:line="240" w:lineRule="auto"/>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小写：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（元人民币）</w:t>
            </w:r>
            <w:r/>
          </w:p>
        </w:tc>
      </w:tr>
      <w:tr>
        <w:trPr>
          <w:trHeight w:val="717"/>
        </w:trPr>
        <w:tc>
          <w:tcPr>
            <w:tcMar>
              <w:left w:w="0" w:type="dxa"/>
              <w:top w:w="0" w:type="dxa"/>
              <w:right w:w="0" w:type="dxa"/>
              <w:bottom w:w="0" w:type="dxa"/>
            </w:tcMar>
            <w:tcW w:w="2591" w:type="dxa"/>
            <w:vAlign w:val="center"/>
            <w:textDirection w:val="lrTb"/>
            <w:noWrap w:val="false"/>
          </w:tcPr>
          <w:p>
            <w:pPr>
              <w:pStyle w:val="1281"/>
              <w:jc w:val="center"/>
              <w:spacing w:line="240" w:lineRule="auto"/>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投标报价大写金额</w:t>
            </w:r>
            <w:r/>
          </w:p>
        </w:tc>
        <w:tc>
          <w:tcPr>
            <w:tcMar>
              <w:left w:w="0" w:type="dxa"/>
              <w:top w:w="0" w:type="dxa"/>
              <w:right w:w="0" w:type="dxa"/>
              <w:bottom w:w="0" w:type="dxa"/>
            </w:tcMar>
            <w:tcW w:w="7198" w:type="dxa"/>
            <w:vAlign w:val="center"/>
            <w:textDirection w:val="lrTb"/>
            <w:noWrap w:val="false"/>
          </w:tcPr>
          <w:p>
            <w:pPr>
              <w:pStyle w:val="1281"/>
              <w:ind w:firstLine="1200"/>
              <w:jc w:val="both"/>
              <w:spacing w:line="240" w:lineRule="auto"/>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大</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tc>
      </w:tr>
    </w:tbl>
    <w:p>
      <w:pPr>
        <w:pStyle w:val="1281"/>
        <w:jc w:val="right"/>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pStyle w:val="1249"/>
        <w:keepLines w:val="0"/>
        <w:keepNext w:val="0"/>
        <w:spacing w:line="440" w:lineRule="exact"/>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r>
      <w:r/>
    </w:p>
    <w:p>
      <w:pPr>
        <w:pStyle w:val="1249"/>
        <w:keepLines w:val="0"/>
        <w:keepNext w:val="0"/>
        <w:spacing w:line="440" w:lineRule="exact"/>
        <w:widowControl/>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r>
      <w:r/>
    </w:p>
    <w:p>
      <w:pPr>
        <w:pStyle w:val="1249"/>
        <w:keepLines w:val="0"/>
        <w:keepNext w:val="0"/>
        <w:spacing w:line="440" w:lineRule="exact"/>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Fonts w:hint="eastAsia" w:ascii="宋体" w:hAnsi="宋体" w:eastAsia="宋体" w:cs="宋体"/>
          <w:color w:val="000000" w:themeColor="text1"/>
          <w:spacing w:val="0"/>
          <w:highlight w:val="none"/>
          <w14:textFill>
            <w14:solidFill>
              <w14:schemeClr w14:val="tx1"/>
            </w14:solidFill>
          </w14:textFill>
        </w:rPr>
        <w:t xml:space="preserve">填写说明：</w:t>
      </w:r>
      <w:r/>
    </w:p>
    <w:p>
      <w:pPr>
        <w:pStyle w:val="1249"/>
        <w:keepLines w:val="0"/>
        <w:keepNext w:val="0"/>
        <w:spacing w:line="440" w:lineRule="exact"/>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Style w:val="1284"/>
          <w:rFonts w:hint="eastAsia" w:ascii="宋体" w:hAnsi="宋体" w:eastAsia="宋体" w:cs="宋体"/>
          <w:color w:val="000000" w:themeColor="text1"/>
          <w:spacing w:val="0"/>
          <w:highlight w:val="none"/>
          <w:u w:val="single"/>
          <w14:textFill>
            <w14:solidFill>
              <w14:schemeClr w14:val="tx1"/>
            </w14:solidFill>
          </w14:textFill>
        </w:rPr>
        <w:t xml:space="preserve">1</w:t>
      </w:r>
      <w:r>
        <w:rPr>
          <w:rStyle w:val="1284"/>
          <w:rFonts w:hint="eastAsia" w:ascii="宋体" w:hAnsi="宋体" w:eastAsia="宋体" w:cs="宋体"/>
          <w:color w:val="000000" w:themeColor="text1"/>
          <w:spacing w:val="0"/>
          <w:highlight w:val="none"/>
          <w:u w:val="single"/>
          <w:lang w:val="en-US" w:eastAsia="zh-CN"/>
          <w14:textFill>
            <w14:solidFill>
              <w14:schemeClr w14:val="tx1"/>
            </w14:solidFill>
          </w14:textFill>
        </w:rPr>
        <w:t xml:space="preserve">.</w:t>
      </w:r>
      <w:r>
        <w:rPr>
          <w:rStyle w:val="1284"/>
          <w:rFonts w:hint="eastAsia" w:ascii="宋体" w:hAnsi="宋体" w:eastAsia="宋体" w:cs="宋体"/>
          <w:color w:val="000000" w:themeColor="text1"/>
          <w:spacing w:val="0"/>
          <w:highlight w:val="none"/>
          <w:u w:val="single"/>
          <w14:textFill>
            <w14:solidFill>
              <w14:schemeClr w14:val="tx1"/>
            </w14:solidFill>
          </w14:textFill>
        </w:rPr>
        <w:t xml:space="preserve">开标一览表必须加盖投标人公章（复印件无效）。</w:t>
      </w:r>
      <w:r/>
    </w:p>
    <w:p>
      <w:pPr>
        <w:pStyle w:val="1249"/>
        <w:keepLines w:val="0"/>
        <w:keepNext w:val="0"/>
        <w:spacing w:line="440" w:lineRule="exact"/>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uppressLineNumbers w:val="0"/>
      </w:pPr>
      <w:r>
        <w:rPr>
          <w:rStyle w:val="1284"/>
          <w:rFonts w:hint="eastAsia" w:ascii="宋体" w:hAnsi="宋体" w:eastAsia="宋体" w:cs="宋体"/>
          <w:color w:val="000000" w:themeColor="text1"/>
          <w:spacing w:val="0"/>
          <w:highlight w:val="none"/>
          <w:u w:val="single"/>
          <w14:textFill>
            <w14:solidFill>
              <w14:schemeClr w14:val="tx1"/>
            </w14:solidFill>
          </w14:textFill>
        </w:rPr>
        <w:t xml:space="preserve">2</w:t>
      </w:r>
      <w:r>
        <w:rPr>
          <w:rStyle w:val="1284"/>
          <w:rFonts w:hint="eastAsia" w:ascii="宋体" w:hAnsi="宋体" w:eastAsia="宋体" w:cs="宋体"/>
          <w:color w:val="000000" w:themeColor="text1"/>
          <w:spacing w:val="0"/>
          <w:highlight w:val="none"/>
          <w:u w:val="single"/>
          <w:lang w:val="en-US" w:eastAsia="zh-CN"/>
          <w14:textFill>
            <w14:solidFill>
              <w14:schemeClr w14:val="tx1"/>
            </w14:solidFill>
          </w14:textFill>
        </w:rPr>
        <w:t xml:space="preserve">.</w:t>
      </w:r>
      <w:r>
        <w:rPr>
          <w:rStyle w:val="1284"/>
          <w:rFonts w:hint="eastAsia" w:ascii="宋体" w:hAnsi="宋体" w:eastAsia="宋体" w:cs="宋体"/>
          <w:color w:val="000000" w:themeColor="text1"/>
          <w:spacing w:val="0"/>
          <w:highlight w:val="none"/>
          <w:u w:val="single"/>
          <w14:textFill>
            <w14:solidFill>
              <w14:schemeClr w14:val="tx1"/>
            </w14:solidFill>
          </w14:textFill>
        </w:rPr>
        <w:t xml:space="preserve">如有分包，投标人投任何一个包的标的，都需单独填写开标一览表。</w:t>
      </w:r>
      <w:r/>
    </w:p>
    <w:p>
      <w:pPr>
        <w:pStyle w:val="1281"/>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85"/>
        <w:jc w:val="left"/>
        <w:shd w:val="clear" w:color="auto" w:fill="auto"/>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86"/>
        <w:jc w:val="left"/>
        <w:shd w:val="clear" w:color="auto" w:fill="auto"/>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383" w:name="_Toc19097"/>
      <w:r/>
      <w:bookmarkStart w:id="384" w:name="_Toc24613"/>
      <w:r/>
      <w:bookmarkStart w:id="385" w:name="_Toc19115"/>
      <w:r/>
      <w:bookmarkStart w:id="386" w:name="_Toc21766"/>
      <w:r/>
      <w:bookmarkStart w:id="387" w:name="_Toc12028"/>
      <w:r/>
      <w:bookmarkStart w:id="388" w:name="_Toc28557"/>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四、资格证明文件</w:t>
      </w:r>
      <w:bookmarkEnd w:id="383"/>
      <w:r/>
      <w:bookmarkEnd w:id="384"/>
      <w:r/>
      <w:bookmarkEnd w:id="385"/>
      <w:r/>
      <w:bookmarkEnd w:id="386"/>
      <w:r/>
      <w:r/>
    </w:p>
    <w:p>
      <w:pPr>
        <w:pStyle w:val="1287"/>
        <w:ind w:firstLine="482"/>
        <w:keepLines w:val="0"/>
        <w:keepNext w:val="0"/>
        <w:pageBreakBefore w:val="0"/>
        <w:spacing w:line="520" w:lineRule="exact"/>
        <w:shd w:val="clear" w:color="auto" w:fill="auto"/>
        <w:widowControl/>
        <w:rPr>
          <w:rStyle w:val="1254"/>
          <w:rFonts w:hint="eastAsia"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bCs w:val="0"/>
          <w:i/>
          <w:iCs/>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1</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2</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财务状况报告（成立不满一年不需要提供）；</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3</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依法缴纳税收和社会保障资金的相关材料（如依法享受缓缴、免缴税收、社会保障资金的，应提供相关证明材料）；</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4</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具备履行合同所必需的设备和专业技术能力的书面声明（格式见后）；</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5</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参加政府采购活动前3年内在经营活动中没有重大违法记录的书面声明（格式见后）；</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6.</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提供授权委托书（被授权人非法定代表人的，应提供授权委托书；被授权人是法定代表人的，应提供授权委托书或法定代表人身份证明书。格式见后）；</w:t>
      </w:r>
      <w:r/>
    </w:p>
    <w:p>
      <w:pPr>
        <w:pStyle w:val="1287"/>
        <w:ind w:firstLine="480"/>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7</w:t>
      </w:r>
      <w:r>
        <w:rPr>
          <w:rStyle w:val="1254"/>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关于资格证明文件的书面承诺（格式见后）；</w:t>
      </w:r>
      <w:r/>
    </w:p>
    <w:p>
      <w:pPr>
        <w:pStyle w:val="1287"/>
        <w:ind w:firstLine="480"/>
        <w:spacing w:line="520" w:lineRule="exact"/>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8.中小企业声明函等（格式见后）；</w:t>
      </w:r>
      <w:r/>
    </w:p>
    <w:p>
      <w:pPr>
        <w:pStyle w:val="1287"/>
        <w:ind w:firstLine="480"/>
        <w:spacing w:line="520" w:lineRule="exact"/>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9.未被“信用中国”网站（www.creditchina.gov.cn）列入失信被执行人、重大税收违法案件当事人名单、政府采购严重失信行为记录名单（提供相关证明材料）。</w:t>
      </w:r>
      <w:r/>
    </w:p>
    <w:p>
      <w:pPr>
        <w:pStyle w:val="1287"/>
        <w:jc w:val="left"/>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Fonts w:hint="eastAsia" w:ascii="宋体" w:hAnsi="宋体" w:eastAsia="宋体" w:cs="宋体"/>
          <w:b w:val="0"/>
          <w:bCs/>
          <w:i/>
          <w:iCs/>
          <w:color w:val="000000" w:themeColor="text1"/>
          <w:sz w:val="24"/>
          <w:szCs w:val="24"/>
          <w:highlight w:val="none"/>
          <w:u w:val="single"/>
          <w14:textFill>
            <w14:solidFill>
              <w14:schemeClr w14:val="tx1"/>
            </w14:solidFill>
          </w14:textFill>
        </w:rPr>
      </w:r>
      <w:r/>
    </w:p>
    <w:p>
      <w:pPr>
        <w:pStyle w:val="1287"/>
        <w:jc w:val="left"/>
        <w:keepLines w:val="0"/>
        <w:keepNext w:val="0"/>
        <w:pageBreakBefore w:val="0"/>
        <w:spacing w:line="520" w:lineRule="exact"/>
        <w:shd w:val="clear" w:color="auto" w:fill="auto"/>
        <w:widowControl/>
        <w:rPr>
          <w:rStyle w:val="1254"/>
          <w:rFonts w:hint="eastAsia" w:ascii="宋体" w:hAnsi="宋体" w:eastAsia="宋体" w:cs="宋体"/>
          <w:b w:val="0"/>
          <w:bCs/>
          <w:i/>
          <w:iCs/>
          <w:color w:val="000000" w:themeColor="text1"/>
          <w:sz w:val="24"/>
          <w:szCs w:val="24"/>
          <w:highlight w:val="none"/>
          <w:u w:val="singl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val="0"/>
          <w:bCs/>
          <w:i/>
          <w:iCs/>
          <w:color w:val="000000" w:themeColor="text1"/>
          <w:sz w:val="24"/>
          <w:szCs w:val="24"/>
          <w:highlight w:val="none"/>
          <w:u w:val="single"/>
          <w14:textFill>
            <w14:solidFill>
              <w14:schemeClr w14:val="tx1"/>
            </w14:solidFill>
          </w14:textFill>
        </w:rPr>
      </w:r>
      <w:r/>
    </w:p>
    <w:p>
      <w:pPr>
        <w:pStyle w:val="1287"/>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法人或者其他组织的营业执照等证明文件，自然人的身份证明</w:t>
      </w:r>
      <w:r/>
    </w:p>
    <w:p>
      <w:pPr>
        <w:pStyle w:val="1288"/>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法人或者其他组织的营业执照等证明文件，自然人的身份证明</w:t>
      </w:r>
      <w:r/>
    </w:p>
    <w:p>
      <w:pPr>
        <w:pStyle w:val="1288"/>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8"/>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8"/>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8"/>
        <w:ind w:firstLine="480"/>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88"/>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88"/>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89"/>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财务状况报告（成立不满一年不需要提供）</w:t>
      </w:r>
      <w:r/>
    </w:p>
    <w:p>
      <w:pPr>
        <w:pStyle w:val="129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近年财务状况表</w:t>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14:textFill>
            <w14:solidFill>
              <w14:schemeClr w14:val="tx1"/>
            </w14:solidFill>
          </w14:textFill>
        </w:rPr>
      </w:r>
      <w:r/>
    </w:p>
    <w:p>
      <w:pPr>
        <w:pStyle w:val="1288"/>
        <w:ind w:firstLine="480"/>
        <w:jc w:val="left"/>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14:textFill>
            <w14:solidFill>
              <w14:schemeClr w14:val="tx1"/>
            </w14:solidFill>
          </w14:textFill>
          <w14:ligatures w14:val="none"/>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注：若投标人为分公司，可提供总公司财务状况报告。</w:t>
      </w:r>
      <w:r/>
    </w:p>
    <w:p>
      <w:pPr>
        <w:pStyle w:val="1290"/>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290"/>
        <w:keepLines w:val="0"/>
        <w:keepNext w:val="0"/>
        <w:pageBreakBefore w:val="0"/>
        <w:spacing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323"/>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依法缴纳税收和社会保障资金的相关材料</w:t>
      </w:r>
      <w:r/>
    </w:p>
    <w:p>
      <w:pPr>
        <w:pStyle w:val="1292"/>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依法缴纳税收和社会保障资金的相关材料（如依法享受缓缴、免缴税收、社会保障资金的，应提供相关证明材料）</w:t>
      </w:r>
      <w:r/>
    </w:p>
    <w:p>
      <w:pPr>
        <w:pStyle w:val="1288"/>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8"/>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91"/>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具备履行合同所必需的设备和专业技术能力的书面声明</w:t>
      </w:r>
      <w:r/>
    </w:p>
    <w:p>
      <w:pPr>
        <w:pStyle w:val="1292"/>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w:t>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具备履行合同所必需的设备和专业技术能力的书面声明</w:t>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320" w:after="320" w:line="520" w:lineRule="exact"/>
        <w:shd w:val="clear" w:color="auto" w:fill="auto"/>
        <w:widowControl/>
        <w:rPr>
          <w:rStyle w:val="1254"/>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ind w:firstLine="480"/>
        <w:jc w:val="both"/>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我单位郑重声明：我单位具备履行本项采购合同所必需的设备和专业技术能力。</w:t>
      </w:r>
      <w:r/>
    </w:p>
    <w:p>
      <w:pPr>
        <w:pStyle w:val="1292"/>
        <w:jc w:val="center"/>
        <w:keepLines w:val="0"/>
        <w:keepNext w:val="0"/>
        <w:pageBreakBefore w:val="0"/>
        <w:spacing w:before="360" w:after="36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360" w:after="36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360" w:after="36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ind w:firstLine="4353"/>
        <w:keepLines w:val="0"/>
        <w:keepNext w:val="0"/>
        <w:pageBreakBefore w:val="0"/>
        <w:spacing w:before="210" w:after="21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单位名称</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292"/>
        <w:keepLines w:val="0"/>
        <w:keepNext w:val="0"/>
        <w:pageBreakBefore w:val="0"/>
        <w:spacing w:before="210" w:after="21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ind w:firstLine="3600"/>
        <w:keepLines w:val="0"/>
        <w:keepNext w:val="0"/>
        <w:pageBreakBefore w:val="0"/>
        <w:spacing w:before="210" w:after="21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3"/>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参加政府采购活动前3年内在经营活动中没有重大违法记录的书面声明</w:t>
      </w:r>
      <w:r/>
    </w:p>
    <w:p>
      <w:pPr>
        <w:pStyle w:val="1294"/>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参加政府采购活动前3年内在经营活动中没有重大违法记录的书面声明</w:t>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both"/>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2"/>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4"/>
        <w:ind w:firstLine="4320"/>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单位名称</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294"/>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4"/>
        <w:ind w:firstLine="4320"/>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5"/>
        <w:spacing w:line="520" w:lineRule="exact"/>
        <w:shd w:val="clear" w:color="auto" w:fill="auto"/>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本授权书声明：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（投标人名称）授权</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(被授权人的姓名)（被授权人身份证号码：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）为我方就</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（项目编号：</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本授权书于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被授权人联系电话：（手机）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授权单位名称：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兹证明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（姓名）（法定代表人身份证号码：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）担任</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法定代表人联系电话：（手机）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6"/>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关于资格证明文件的书面承诺</w:t>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关于资格证明文件的书面承诺</w:t>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7"/>
        <w:ind w:firstLine="480"/>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7"/>
        <w:ind w:firstLine="4320"/>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254"/>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单位名称</w:t>
      </w: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297"/>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ind w:left="0" w:right="0" w:firstLine="0"/>
        <w:jc w:val="both"/>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未被“信用中国”网站（www.creditchina.gov.cn）列入失信被执行人、重大税收违法案件当事人名单、政府采购严重失信行为记录名单（提供相关证明材料）</w:t>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7"/>
        <w:ind w:firstLine="0"/>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96"/>
        <w:jc w:val="left"/>
        <w:shd w:val="clear" w:color="auto" w:fill="auto"/>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outlineLvl w:val="2"/>
      </w:pPr>
      <w:r>
        <w:rPr>
          <w:rStyle w:val="1254"/>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中小企业声明函(本项目专门面向中小企业采购)</w:t>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中小企业声明函（服务）</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本公司郑重声明，根据《政府采购促进中小企业发展管理办法》</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财库〔2020〕46号)的规定，本公司参加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（单位名称）的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（项目名称）采购活动，服务全部由符合政策要求的中小企业承接。相关企业的具体情况如下：</w:t>
      </w:r>
      <w:r/>
    </w:p>
    <w:p>
      <w:pPr>
        <w:ind w:firstLine="480"/>
        <w:jc w:val="left"/>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医院业务系统软件运维及接口服务包项目</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（标的名称），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软件和信息技术服务业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（采购文件中明确的所属行业）；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承接企业为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（企业名称），从业人员</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人，营业收入为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万元，资产总额为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（中型企业、小型企业、微型企业）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本企业对上述声明内容的真实性负责。如有虚假，将依法承担相应责任。</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企业名称（盖章）：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备注：</w:t>
      </w:r>
      <w:r/>
    </w:p>
    <w:p>
      <w:pPr>
        <w:ind w:firstLine="480"/>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ind w:firstLine="480"/>
        <w:keepLines w:val="0"/>
        <w:keepNext w:val="0"/>
        <w:pageBreakBefore w:val="0"/>
        <w:spacing w:line="520" w:lineRule="exact"/>
        <w:shd w:val="clear" w:color="auto" w:fill="auto"/>
        <w:widowControl/>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服务类项目中供应商若使用退休人员，将不享受相应扶持政策。</w:t>
      </w:r>
      <w:r/>
    </w:p>
    <w:p>
      <w:pPr>
        <w:ind w:firstLine="482"/>
        <w:keepLines w:val="0"/>
        <w:keepNext w:val="0"/>
        <w:pageBreakBefore w:val="0"/>
        <w:spacing w:line="520" w:lineRule="exact"/>
        <w:shd w:val="clear" w:color="auto" w:fill="auto"/>
        <w:widowControl/>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3.若供应商对照《政府采购促进中小企业发展管理办法》（财库〔2020〕46号）中的规定，明确不符合中小企业的，则无需提供此声明函。</w:t>
      </w:r>
      <w:r/>
    </w:p>
    <w:p>
      <w:pPr>
        <w:pStyle w:val="1314"/>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附：中小企业划型标准规定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31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14"/>
        <w:ind w:firstLine="480"/>
        <w:jc w:val="both"/>
        <w:keepLines w:val="0"/>
        <w:keepNext w:val="0"/>
        <w:pageBreakBefore w:val="0"/>
        <w:spacing w:before="240" w:after="240" w:line="240" w:lineRule="auto"/>
        <w:shd w:val="clear" w:color="auto" w:fill="auto"/>
        <w:widowControl/>
        <w:rPr>
          <w:rStyle w:val="1254"/>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314"/>
        <w:keepLines w:val="0"/>
        <w:keepNext w:val="0"/>
        <w:pageBreakBefore w:val="0"/>
        <w:spacing w:before="240" w:after="240" w:line="36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14"/>
        <w:ind w:firstLine="420"/>
        <w:keepLines w:val="0"/>
        <w:keepNext w:val="0"/>
        <w:pageBreakBefore w:val="0"/>
        <w:spacing w:before="240" w:after="240" w:line="36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280"/>
        <w:jc w:val="both"/>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89" w:name="_Toc4284"/>
      <w:r/>
      <w:bookmarkStart w:id="390" w:name="_Toc12364"/>
      <w:r/>
      <w:bookmarkStart w:id="391" w:name="_Toc25199"/>
      <w:r/>
      <w:bookmarkStart w:id="392" w:name="_Toc12326"/>
      <w:r/>
      <w:bookmarkStart w:id="393" w:name="_Toc7218"/>
      <w:r/>
      <w:bookmarkStart w:id="394" w:name="_Toc30475"/>
      <w:r>
        <w:rPr>
          <w:rStyle w:val="1254"/>
          <w:rFonts w:hint="eastAsia" w:ascii="宋体" w:hAnsi="宋体" w:eastAsia="宋体" w:cs="宋体"/>
          <w:b/>
          <w:color w:val="000000" w:themeColor="text1"/>
          <w:sz w:val="32"/>
          <w:highlight w:val="none"/>
          <w14:textFill>
            <w14:solidFill>
              <w14:schemeClr w14:val="tx1"/>
            </w14:solidFill>
          </w14:textFill>
        </w:rPr>
        <w:t xml:space="preserve">残疾人福利性单位声明函</w:t>
      </w:r>
      <w:bookmarkEnd w:id="389"/>
      <w:r/>
      <w:bookmarkEnd w:id="390"/>
      <w:r/>
      <w:bookmarkEnd w:id="391"/>
      <w:r/>
      <w:bookmarkEnd w:id="392"/>
      <w:r/>
      <w:bookmarkEnd w:id="393"/>
      <w:r/>
      <w:bookmarkEnd w:id="394"/>
      <w:r/>
      <w:r/>
    </w:p>
    <w:p>
      <w:pPr>
        <w:jc w:val="center"/>
        <w:spacing w:before="567" w:after="567" w:line="519" w:lineRule="atLeast"/>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2.若供应商对照《关于促进残疾人就业政府采购政策的通知》（财库〔2017〕141号）中的规定，明确不符合残疾人福利性单位条件的，则无需提供此声明函。</w:t>
      </w:r>
      <w:r/>
    </w:p>
    <w:p>
      <w:pPr>
        <w:numPr>
          <w:ilvl w:val="0"/>
          <w:numId w:val="1"/>
        </w:numPr>
        <w:ind w:firstLine="480"/>
        <w:jc w:val="both"/>
        <w:keepLines w:val="0"/>
        <w:keepNext w:val="0"/>
        <w:pageBreakBefore w:val="0"/>
        <w:spacing w:before="0" w:after="0" w:line="520" w:lineRule="exact"/>
        <w:widowControl/>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0"/>
        <w:jc w:val="both"/>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95" w:name="_Toc12746"/>
      <w:r/>
      <w:bookmarkStart w:id="396" w:name="_Toc13316"/>
      <w:r/>
      <w:bookmarkStart w:id="397" w:name="_Toc16606"/>
      <w:r/>
      <w:bookmarkStart w:id="398" w:name="_Toc35266045"/>
      <w:r/>
      <w:bookmarkStart w:id="399" w:name="_Toc35244896"/>
      <w:r/>
      <w:bookmarkStart w:id="400" w:name="_Toc43285587"/>
      <w:r/>
      <w:bookmarkStart w:id="401" w:name="_Toc35246808"/>
      <w:r>
        <w:rPr>
          <w:rStyle w:val="1254"/>
          <w:rFonts w:hint="eastAsia" w:ascii="宋体" w:hAnsi="宋体" w:eastAsia="宋体" w:cs="宋体"/>
          <w:b/>
          <w:color w:val="000000" w:themeColor="text1"/>
          <w:sz w:val="32"/>
          <w:highlight w:val="none"/>
          <w14:textFill>
            <w14:solidFill>
              <w14:schemeClr w14:val="tx1"/>
            </w14:solidFill>
          </w14:textFill>
        </w:rPr>
        <w:t xml:space="preserve">监狱企业的证明文件</w:t>
      </w:r>
      <w:bookmarkEnd w:id="395"/>
      <w:r/>
      <w:bookmarkEnd w:id="396"/>
      <w:r/>
      <w:bookmarkEnd w:id="397"/>
      <w:r/>
      <w:r/>
    </w:p>
    <w:p>
      <w:pPr>
        <w:jc w:val="center"/>
        <w:spacing w:before="567" w:after="567" w:line="519" w:lineRule="atLeast"/>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监狱企业的证明文件</w:t>
      </w:r>
      <w:bookmarkEnd w:id="398"/>
      <w:r/>
      <w:bookmarkEnd w:id="399"/>
      <w:r/>
      <w:bookmarkEnd w:id="400"/>
      <w:r/>
      <w:bookmarkEnd w:id="401"/>
      <w:r/>
      <w:r/>
    </w:p>
    <w:p>
      <w:pPr>
        <w:pStyle w:val="1324"/>
        <w:jc w:val="center"/>
        <w:spacing w:before="240" w:after="240"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5"/>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02" w:name="_Toc18208"/>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五</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w:t>
      </w:r>
      <w:bookmarkEnd w:id="387"/>
      <w:r/>
      <w:bookmarkEnd w:id="388"/>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经费测算明细表</w:t>
      </w:r>
      <w:bookmarkEnd w:id="402"/>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经费测算明细表</w:t>
      </w:r>
      <w:r/>
    </w:p>
    <w:tbl>
      <w:tblPr>
        <w:tblStyle w:val="1066"/>
        <w:tblW w:w="50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0"/>
        <w:gridCol w:w="2129"/>
        <w:gridCol w:w="3286"/>
        <w:gridCol w:w="1335"/>
        <w:gridCol w:w="1336"/>
        <w:gridCol w:w="948"/>
      </w:tblGrid>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1079"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none"/>
                <w14:textFill>
                  <w14:solidFill>
                    <w14:schemeClr w14:val="tx1"/>
                  </w14:solidFill>
                </w14:textFill>
              </w:rPr>
              <w:t xml:space="preserve">费用条目名称</w:t>
            </w:r>
            <w:r/>
          </w:p>
        </w:tc>
        <w:tc>
          <w:tcPr>
            <w:tcMar>
              <w:left w:w="0" w:type="dxa"/>
              <w:top w:w="0" w:type="dxa"/>
              <w:right w:w="0" w:type="dxa"/>
              <w:bottom w:w="0" w:type="dxa"/>
            </w:tcMar>
            <w:tcW w:w="1667"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p>
        </w:tc>
        <w:tc>
          <w:tcPr>
            <w:tcMar>
              <w:left w:w="0" w:type="dxa"/>
              <w:top w:w="0" w:type="dxa"/>
              <w:right w:w="0" w:type="dxa"/>
              <w:bottom w:w="0" w:type="dxa"/>
            </w:tcMar>
            <w:tcW w:w="677"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none"/>
                <w14:textFill>
                  <w14:solidFill>
                    <w14:schemeClr w14:val="tx1"/>
                  </w14:solidFill>
                </w14:textFill>
              </w:rPr>
              <w:t xml:space="preserve">单价（元）</w:t>
            </w:r>
            <w:r/>
          </w:p>
        </w:tc>
        <w:tc>
          <w:tcPr>
            <w:tcMar>
              <w:left w:w="0" w:type="dxa"/>
              <w:top w:w="0" w:type="dxa"/>
              <w:right w:w="0" w:type="dxa"/>
              <w:bottom w:w="0" w:type="dxa"/>
            </w:tcMar>
            <w:tcW w:w="678"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none"/>
                <w14:textFill>
                  <w14:solidFill>
                    <w14:schemeClr w14:val="tx1"/>
                  </w14:solidFill>
                </w14:textFill>
              </w:rPr>
              <w:t xml:space="preserve">合价（元）</w:t>
            </w:r>
            <w:r/>
          </w:p>
        </w:tc>
        <w:tc>
          <w:tcPr>
            <w:tcMar>
              <w:left w:w="0" w:type="dxa"/>
              <w:top w:w="0" w:type="dxa"/>
              <w:right w:w="0" w:type="dxa"/>
              <w:bottom w:w="0" w:type="dxa"/>
            </w:tcMar>
            <w:tcW w:w="481" w:type="pct"/>
            <w:vAlign w:val="center"/>
            <w:textDirection w:val="lrTb"/>
            <w:noWrap w:val="false"/>
          </w:tcPr>
          <w:p>
            <w:pPr>
              <w:ind w:left="0" w:right="0" w:firstLine="0"/>
              <w:jc w:val="center"/>
              <w:keepLines w:val="0"/>
              <w:keepNext w:val="0"/>
              <w:pageBreakBefore w:val="0"/>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highlight w:val="none"/>
                <w14:textFill>
                  <w14:solidFill>
                    <w14:schemeClr w14:val="tx1"/>
                  </w14:solidFill>
                </w14:textFill>
              </w:rPr>
              <w:t xml:space="preserve">备注</w:t>
            </w:r>
            <w:r/>
          </w:p>
        </w:tc>
      </w:tr>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79"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79"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79"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79"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1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79"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7"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78"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gridSpan w:val="2"/>
            <w:tcMar>
              <w:left w:w="0" w:type="dxa"/>
              <w:top w:w="0" w:type="dxa"/>
              <w:right w:w="0" w:type="dxa"/>
              <w:bottom w:w="0" w:type="dxa"/>
            </w:tcMar>
            <w:tcW w:w="1496"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合计（元）</w:t>
            </w:r>
            <w:r/>
          </w:p>
        </w:tc>
        <w:tc>
          <w:tcPr>
            <w:gridSpan w:val="4"/>
            <w:tcMar>
              <w:left w:w="0" w:type="dxa"/>
              <w:top w:w="0" w:type="dxa"/>
              <w:right w:w="0" w:type="dxa"/>
              <w:bottom w:w="0" w:type="dxa"/>
            </w:tcMar>
            <w:tcW w:w="3503" w:type="pct"/>
            <w:vAlign w:val="center"/>
            <w:textDirection w:val="lrTb"/>
            <w:noWrap w:val="false"/>
          </w:tcPr>
          <w:p>
            <w:pPr>
              <w:jc w:val="center"/>
              <w:keepLines w:val="0"/>
              <w:keepNext w:val="0"/>
              <w:pageBreakBefore w:val="0"/>
              <w:spacing w:before="0" w:after="0"/>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ind w:left="0" w:right="0" w:firstLine="482"/>
        <w:spacing w:before="240" w:after="240" w:line="519" w:lineRule="atLeast"/>
        <w:rPr>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strike w:val="0"/>
          <w:color w:val="000000" w:themeColor="text1"/>
          <w:sz w:val="24"/>
          <w:highlight w:val="none"/>
          <w14:textFill>
            <w14:solidFill>
              <w14:schemeClr w14:val="tx1"/>
            </w14:solidFill>
          </w14:textFill>
        </w:rPr>
        <w:t xml:space="preserve">针对本项目</w:t>
      </w:r>
      <w:r>
        <w:rPr>
          <w:rFonts w:ascii="宋体" w:hAnsi="宋体" w:eastAsia="宋体" w:cs="宋体"/>
          <w:b/>
          <w:strike w:val="0"/>
          <w:color w:val="000000" w:themeColor="text1"/>
          <w:sz w:val="24"/>
          <w:highlight w:val="none"/>
          <w:u w:val="single"/>
          <w14:textFill>
            <w14:solidFill>
              <w14:schemeClr w14:val="tx1"/>
            </w14:solidFill>
          </w14:textFill>
        </w:rPr>
        <w:t xml:space="preserve">      </w:t>
      </w:r>
      <w:r>
        <w:rPr>
          <w:rFonts w:ascii="宋体" w:hAnsi="宋体" w:eastAsia="宋体" w:cs="宋体"/>
          <w:b/>
          <w:strike w:val="0"/>
          <w:color w:val="000000" w:themeColor="text1"/>
          <w:sz w:val="24"/>
          <w:highlight w:val="none"/>
          <w14:textFill>
            <w14:solidFill>
              <w14:schemeClr w14:val="tx1"/>
            </w14:solidFill>
          </w14:textFill>
        </w:rPr>
        <w:t xml:space="preserve">（是或否）使用退休人员。</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注：</w:t>
      </w:r>
      <w:r/>
    </w:p>
    <w:p>
      <w:pPr>
        <w:ind w:left="0" w:right="0" w:firstLine="482"/>
        <w:spacing w:before="240" w:after="240" w:line="519" w:lineRule="atLeast"/>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highlight w:val="none"/>
          <w14:textFill>
            <w14:solidFill>
              <w14:schemeClr w14:val="tx1"/>
            </w14:solidFill>
          </w14:textFill>
        </w:rPr>
        <w:t xml:space="preserve">服务类项目中供应商若使用退休人员，将不享受相应扶持政策。</w:t>
      </w:r>
      <w:r/>
    </w:p>
    <w:p>
      <w:pPr>
        <w:ind w:left="0" w:right="0" w:firstLine="482"/>
        <w:spacing w:before="240" w:after="240" w:line="519"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2.请投标人明确针对该项目是否使用退休人员：如使用退休人员，则在横线处填写“是”；如未使用退休人员，则在横线处填写“否”。(此为必填项)</w:t>
      </w:r>
      <w:r/>
    </w:p>
    <w:p>
      <w:pPr>
        <w:ind w:left="0" w:right="0" w:firstLine="482"/>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3.以上表格必须如实提供，内容表述不全的可自行调整或添加。此表的合计金额应与开标一览表相符，如有不符，以开标一览表为准</w:t>
      </w:r>
      <w:r>
        <w:rPr>
          <w:rFonts w:ascii="宋体" w:hAnsi="宋体" w:eastAsia="宋体" w:cs="宋体"/>
          <w:color w:val="000000" w:themeColor="text1"/>
          <w:sz w:val="24"/>
          <w:highlight w:val="none"/>
          <w14:textFill>
            <w14:solidFill>
              <w14:schemeClr w14:val="tx1"/>
            </w14:solidFill>
          </w14:textFill>
        </w:rPr>
        <w:t xml:space="preserve">。</w:t>
      </w:r>
      <w:r/>
    </w:p>
    <w:p>
      <w:pPr>
        <w:pStyle w:val="1300"/>
        <w:jc w:val="left"/>
        <w:keepLines w:val="0"/>
        <w:keepNext w:val="0"/>
        <w:pageBreakBefore w:val="0"/>
        <w:spacing w:line="520" w:lineRule="exac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00"/>
        <w:jc w:val="left"/>
        <w:keepLines w:val="0"/>
        <w:keepNext w:val="0"/>
        <w:pageBreakBefore w:val="0"/>
        <w:spacing w:line="520" w:lineRule="exac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00"/>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03" w:name="_Toc5493"/>
      <w:r/>
      <w:bookmarkStart w:id="404" w:name="_Toc21880"/>
      <w:r/>
      <w:bookmarkStart w:id="405" w:name="_Toc22512"/>
      <w:r/>
      <w:bookmarkStart w:id="406" w:name="_Toc17337"/>
      <w:r/>
      <w:bookmarkStart w:id="407" w:name="_Toc4216"/>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六</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、第四章项目需求中实质性要求响应对照表</w:t>
      </w:r>
      <w:bookmarkEnd w:id="403"/>
      <w:r/>
      <w:bookmarkEnd w:id="404"/>
      <w:r/>
      <w:bookmarkEnd w:id="405"/>
      <w:r/>
      <w:bookmarkEnd w:id="406"/>
      <w:r/>
      <w:bookmarkEnd w:id="407"/>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bookmarkStart w:id="408" w:name="_Toc8782"/>
      <w:r/>
      <w:bookmarkStart w:id="409" w:name="_Toc12266"/>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第四章项目需求中实质性要求响应对照表</w:t>
      </w:r>
      <w:bookmarkEnd w:id="408"/>
      <w:r/>
      <w:bookmarkEnd w:id="409"/>
      <w:r/>
      <w:r/>
    </w:p>
    <w:p>
      <w:pPr>
        <w:pStyle w:val="1299"/>
        <w:ind w:firstLine="482"/>
        <w:keepLines w:val="0"/>
        <w:keepNext w:val="0"/>
        <w:pageBreakBefore w:val="0"/>
        <w:spacing w:line="440" w:lineRule="exact"/>
        <w:widowControl/>
        <w:rPr>
          <w:rStyle w:val="1276"/>
          <w:rFonts w:hint="eastAsia" w:ascii="宋体" w:hAnsi="宋体" w:eastAsia="宋体" w:cs="宋体"/>
          <w:b/>
          <w:bCs/>
          <w:color w:val="000000" w:themeColor="text1"/>
          <w:highlight w:val="none"/>
          <w14:textFill>
            <w14:solidFill>
              <w14:schemeClr w14:val="tx1"/>
            </w14:solidFill>
          </w14:textFill>
        </w:rPr>
        <w:outlineLvl w:val="9"/>
      </w:pPr>
      <w:r>
        <w:rPr>
          <w:rStyle w:val="1276"/>
          <w:rFonts w:hint="eastAsia" w:ascii="宋体" w:hAnsi="宋体" w:eastAsia="宋体" w:cs="宋体"/>
          <w:b/>
          <w:bCs/>
          <w:color w:val="000000" w:themeColor="text1"/>
          <w:highlight w:val="none"/>
          <w:lang w:val="en-US" w:eastAsia="zh-CN"/>
          <w14:textFill>
            <w14:solidFill>
              <w14:schemeClr w14:val="tx1"/>
            </w14:solidFill>
          </w14:textFill>
        </w:rPr>
        <w:t xml:space="preserve">商务条款的实质性格式</w:t>
      </w:r>
      <w:r/>
    </w:p>
    <w:tbl>
      <w:tblPr>
        <w:tblStyle w:val="1066"/>
        <w:tblW w:w="50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5"/>
        <w:gridCol w:w="5527"/>
        <w:gridCol w:w="1822"/>
        <w:gridCol w:w="1651"/>
      </w:tblGrid>
      <w:tr>
        <w:trPr>
          <w:jc w:val="center"/>
          <w:trHeight w:val="567"/>
          <w:tblHeader/>
        </w:trPr>
        <w:tc>
          <w:tcPr>
            <w:tcMar>
              <w:left w:w="0" w:type="dxa"/>
              <w:top w:w="0" w:type="dxa"/>
              <w:right w:w="0" w:type="dxa"/>
              <w:bottom w:w="0" w:type="dxa"/>
            </w:tcMar>
            <w:tcW w:w="785"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5522"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商务条款</w:t>
            </w:r>
            <w:r>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的实质性要求</w:t>
            </w:r>
            <w:r/>
          </w:p>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1820"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1649"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正偏离、符合或负偏离</w:t>
            </w:r>
            <w:r/>
          </w:p>
        </w:tc>
      </w:tr>
      <w:tr>
        <w:trPr>
          <w:jc w:val="center"/>
          <w:trHeight w:val="567"/>
        </w:trPr>
        <w:tc>
          <w:tcPr>
            <w:tcMar>
              <w:left w:w="0" w:type="dxa"/>
              <w:top w:w="0" w:type="dxa"/>
              <w:right w:w="0" w:type="dxa"/>
              <w:bottom w:w="0" w:type="dxa"/>
            </w:tcMar>
            <w:tcW w:w="785"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5522" w:type="dxa"/>
            <w:vAlign w:val="center"/>
            <w:textDirection w:val="lrTb"/>
            <w:noWrap w:val="false"/>
          </w:tcPr>
          <w:p>
            <w:pPr>
              <w:jc w:val="left"/>
              <w:spacing w:line="240" w:lineRule="auto"/>
              <w:shd w:val="clear" w:color="auto" w:fil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第四章  项目需求三、商务条款  </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（一）服务期限及服务地点</w:t>
            </w:r>
            <w:r/>
          </w:p>
          <w:p>
            <w:pPr>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1．服务期限</w:t>
            </w:r>
            <w:r/>
          </w:p>
          <w:p>
            <w:pPr>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自合同签订之日起1年。</w:t>
            </w:r>
            <w:r/>
          </w:p>
          <w:p>
            <w:pPr>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2．服务地点</w:t>
            </w:r>
            <w:r/>
          </w:p>
          <w:p>
            <w:pPr>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采购人指定地点。</w:t>
            </w:r>
            <w:r/>
          </w:p>
        </w:tc>
        <w:tc>
          <w:tcPr>
            <w:tcMar>
              <w:left w:w="0" w:type="dxa"/>
              <w:top w:w="0" w:type="dxa"/>
              <w:right w:w="0" w:type="dxa"/>
              <w:bottom w:w="0" w:type="dxa"/>
            </w:tcMar>
            <w:tcW w:w="1820"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649"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5522" w:type="dxa"/>
            <w:vAlign w:val="center"/>
            <w:textDirection w:val="lrTb"/>
            <w:noWrap w:val="false"/>
          </w:tcPr>
          <w:p>
            <w:pPr>
              <w:jc w:val="left"/>
              <w:spacing w:line="240" w:lineRule="auto"/>
              <w:shd w:val="clear" w:color="auto" w:fil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第四章  项目需求三、商务条款  </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（二）支付方式</w:t>
            </w:r>
            <w:r/>
          </w:p>
          <w:p>
            <w:pPr>
              <w:ind w:firstLine="0"/>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1．结付程序</w:t>
            </w:r>
            <w:r/>
          </w:p>
          <w:p>
            <w:pPr>
              <w:ind w:firstLine="0"/>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中标人按合同内容合格地履行服务义务后，凭验收报告、销售发票到采购单位办理合同款结算手续。</w:t>
            </w:r>
            <w:r/>
          </w:p>
          <w:p>
            <w:pPr>
              <w:ind w:firstLine="0"/>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2．结付期限</w:t>
            </w:r>
            <w:r/>
          </w:p>
          <w:p>
            <w:pPr>
              <w:ind w:firstLine="0"/>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合同签订后支付合同总价款的 30%作为预付款；根据运维服务质量考核要求，项目验收合格（包含优秀）并经采购人确认后，支付合同总价款的70%；验收不合格，每少1分扣除项目总费用的1%累计。</w:t>
            </w:r>
            <w:r/>
          </w:p>
        </w:tc>
        <w:tc>
          <w:tcPr>
            <w:tcMar>
              <w:left w:w="0" w:type="dxa"/>
              <w:top w:w="0" w:type="dxa"/>
              <w:right w:w="0" w:type="dxa"/>
              <w:bottom w:w="0" w:type="dxa"/>
            </w:tcMar>
            <w:tcW w:w="1820"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649"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276"/>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3</w:t>
            </w:r>
            <w:r/>
          </w:p>
        </w:tc>
        <w:tc>
          <w:tcPr>
            <w:tcMar>
              <w:left w:w="0" w:type="dxa"/>
              <w:top w:w="0" w:type="dxa"/>
              <w:right w:w="0" w:type="dxa"/>
              <w:bottom w:w="0" w:type="dxa"/>
            </w:tcMar>
            <w:tcW w:w="5522" w:type="dxa"/>
            <w:vAlign w:val="center"/>
            <w:textDirection w:val="lrTb"/>
            <w:noWrap w:val="false"/>
          </w:tcPr>
          <w:p>
            <w:pPr>
              <w:jc w:val="left"/>
              <w:spacing w:line="240" w:lineRule="auto"/>
              <w:shd w:val="clear" w:color="auto" w:fil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第四章  项目需求三、商务条款  </w:t>
            </w: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（三）投标货币</w:t>
            </w:r>
            <w:r/>
          </w:p>
          <w:p>
            <w:pPr>
              <w:ind w:firstLine="0"/>
              <w:keepLines w:val="0"/>
              <w:keepNext w:val="0"/>
              <w:pageBreakBefore w:val="0"/>
              <w:spacing w:line="240" w:lineRule="auto"/>
              <w:shd w:val="clear" w:color="auto" w:fill="auto"/>
              <w:widowControl w:val="off"/>
              <w:rPr>
                <w:rFonts w:hint="eastAsia" w:ascii="宋体" w:hAnsi="宋体" w:eastAsia="宋体" w:cs="宋体"/>
                <w:b w:val="0"/>
                <w:i/>
                <w:color w:val="000000" w:themeColor="text1"/>
                <w:sz w:val="24"/>
                <w:szCs w:val="24"/>
                <w:highlight w:val="none"/>
                <w:u w:val="single"/>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t xml:space="preserve">人民币。</w:t>
            </w:r>
            <w:r/>
          </w:p>
        </w:tc>
        <w:tc>
          <w:tcPr>
            <w:tcMar>
              <w:left w:w="0" w:type="dxa"/>
              <w:top w:w="0" w:type="dxa"/>
              <w:right w:w="0" w:type="dxa"/>
              <w:bottom w:w="0" w:type="dxa"/>
            </w:tcMar>
            <w:tcW w:w="1820"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649" w:type="dxa"/>
            <w:vAlign w:val="center"/>
            <w:textDirection w:val="lrTb"/>
            <w:noWrap w:val="false"/>
          </w:tcPr>
          <w:p>
            <w:pPr>
              <w:pStyle w:val="1299"/>
              <w:jc w:val="center"/>
              <w:keepLines w:val="0"/>
              <w:keepNext w:val="0"/>
              <w:pageBreakBefore w:val="0"/>
              <w:spacing w:line="240" w:lineRule="auto"/>
              <w:widowControl/>
              <w:rPr>
                <w:rStyle w:val="1276"/>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注：投标人必须对商务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条款</w:t>
      </w:r>
      <w:r>
        <w:rPr>
          <w:rFonts w:hint="eastAsia" w:ascii="宋体" w:hAnsi="宋体" w:eastAsia="宋体" w:cs="宋体"/>
          <w:color w:val="000000" w:themeColor="text1"/>
          <w:sz w:val="24"/>
          <w:szCs w:val="24"/>
          <w:highlight w:val="none"/>
          <w14:textFill>
            <w14:solidFill>
              <w14:schemeClr w14:val="tx1"/>
            </w14:solidFill>
          </w14:textFill>
        </w:rPr>
        <w:t xml:space="preserve">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z w:val="24"/>
          <w:szCs w:val="24"/>
          <w:highlight w:val="none"/>
          <w14:textFill>
            <w14:solidFill>
              <w14:schemeClr w14:val="tx1"/>
            </w14:solidFill>
          </w14:textFill>
        </w:rPr>
        <w:t xml:space="preserve">逐条做出明确响应，否则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该采购包</w:t>
      </w:r>
      <w:r>
        <w:rPr>
          <w:rFonts w:hint="eastAsia" w:ascii="宋体" w:hAnsi="宋体" w:eastAsia="宋体" w:cs="宋体"/>
          <w:color w:val="000000" w:themeColor="text1"/>
          <w:sz w:val="24"/>
          <w:szCs w:val="24"/>
          <w:highlight w:val="none"/>
          <w14:textFill>
            <w14:solidFill>
              <w14:schemeClr w14:val="tx1"/>
            </w14:solidFill>
          </w14:textFill>
        </w:rPr>
        <w:t xml:space="preserve">作无效投标处理。</w:t>
      </w:r>
      <w:r/>
    </w:p>
    <w:p>
      <w:pPr>
        <w:pStyle w:val="1299"/>
        <w:ind w:firstLine="482"/>
        <w:keepLines w:val="0"/>
        <w:keepNext w:val="0"/>
        <w:pageBreakBefore w:val="0"/>
        <w:spacing w:line="520" w:lineRule="exact"/>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281"/>
        <w:jc w:val="both"/>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301"/>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10" w:name="_Toc13750"/>
      <w:r/>
      <w:bookmarkStart w:id="411" w:name="_Toc19964"/>
      <w:r/>
      <w:bookmarkStart w:id="412" w:name="_Toc3403"/>
      <w:r/>
      <w:bookmarkStart w:id="413" w:name="_Toc18666"/>
      <w:r/>
      <w:bookmarkStart w:id="414" w:name="_Toc11261"/>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七</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、服务方案</w:t>
      </w:r>
      <w:bookmarkEnd w:id="410"/>
      <w:r/>
      <w:bookmarkEnd w:id="411"/>
      <w:r/>
      <w:bookmarkEnd w:id="412"/>
      <w:r/>
      <w:bookmarkEnd w:id="413"/>
      <w:r/>
      <w:bookmarkEnd w:id="414"/>
      <w:r/>
      <w:r/>
    </w:p>
    <w:p>
      <w:pPr>
        <w:pStyle w:val="1281"/>
        <w:jc w:val="center"/>
        <w:keepLines w:val="0"/>
        <w:keepNext w:val="0"/>
        <w:pageBreakBefore w:val="0"/>
        <w:spacing w:before="567" w:after="567" w:line="240" w:lineRule="auto"/>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bookmarkStart w:id="415" w:name="_Toc35266041"/>
      <w:r/>
      <w:bookmarkStart w:id="416" w:name="_Toc43285583"/>
      <w:r>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服务方案</w:t>
      </w:r>
      <w:bookmarkEnd w:id="415"/>
      <w:r/>
      <w:bookmarkEnd w:id="416"/>
      <w:r/>
      <w:r/>
    </w:p>
    <w:p>
      <w:pPr>
        <w:pStyle w:val="1302"/>
        <w:jc w:val="center"/>
        <w:keepLines w:val="0"/>
        <w:keepNext w:val="0"/>
        <w:pageBreakBefore w:val="0"/>
        <w:spacing w:line="520" w:lineRule="exact"/>
        <w:shd w:val="clear" w:color="auto" w:fill="auto"/>
        <w:widowControl w:val="off"/>
        <w:rPr>
          <w:rStyle w:val="1254"/>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pPr>
      <w:r>
        <w:rPr>
          <w:rStyle w:val="1254"/>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t xml:space="preserve">（服务方案的内容编排等由投标人自定）</w:t>
      </w:r>
      <w:r/>
    </w:p>
    <w:p>
      <w:pPr>
        <w:pStyle w:val="1304"/>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4"/>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4"/>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4"/>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4"/>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17" w:name="_Toc11992"/>
      <w:r/>
      <w:bookmarkStart w:id="418" w:name="_Toc15154"/>
      <w:r/>
      <w:bookmarkStart w:id="419" w:name="_Toc12415"/>
      <w:r/>
      <w:bookmarkStart w:id="420" w:name="_Toc10924"/>
      <w:r/>
      <w:bookmarkStart w:id="421" w:name="_Toc29190"/>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八</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、投标人情况介绍</w:t>
      </w:r>
      <w:bookmarkEnd w:id="417"/>
      <w:r/>
      <w:bookmarkEnd w:id="418"/>
      <w:r/>
      <w:bookmarkEnd w:id="419"/>
      <w:r/>
      <w:bookmarkEnd w:id="420"/>
      <w:r/>
      <w:bookmarkEnd w:id="421"/>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9"/>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3"/>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投标人拥有的设施设备情况</w:t>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投标人拥有的设施设备情况（若有的话）</w:t>
      </w:r>
      <w:r/>
    </w:p>
    <w:tbl>
      <w:tblPr>
        <w:tblStyle w:val="1089"/>
        <w:tblW w:w="97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280"/>
        <w:gridCol w:w="2407"/>
        <w:gridCol w:w="1203"/>
        <w:gridCol w:w="1633"/>
        <w:gridCol w:w="1363"/>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货物（产品）名称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规格型号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计量单位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0"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7"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jc w:val="cente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bl>
    <w:p>
      <w:pPr>
        <w:ind w:firstLine="480"/>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注：为保证后续维修养护及应急抢险工作的正常开展，工作时所需的所有工具、设备应由投标人自行准备，请在上述表格中列出项目所需的工具、设备。</w:t>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292"/>
        <w:jc w:val="both"/>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292"/>
        <w:jc w:val="center"/>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05"/>
        <w:jc w:val="left"/>
        <w:keepLines w:val="0"/>
        <w:keepNext w:val="0"/>
        <w:pageBreakBefore w:val="0"/>
        <w:spacing w:line="520" w:lineRule="exact"/>
        <w:shd w:val="clear" w:color="auto" w:fill="auto"/>
        <w:widowControl/>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outlineLvl w:val="3"/>
      </w:pPr>
      <w:r>
        <w:rPr>
          <w:rStyle w:val="1254"/>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项目负责人及其他人员介绍</w:t>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项目负责人及其他人员介绍</w:t>
      </w:r>
      <w:r/>
    </w:p>
    <w:tbl>
      <w:tblPr>
        <w:tblStyle w:val="1066"/>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类别</w:t>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w:t>
      </w:r>
      <w:r/>
    </w:p>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相关证书、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社保或劳动合同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，条目不限于此，可自行添加。</w:t>
      </w:r>
      <w:r/>
    </w:p>
    <w:p>
      <w:pPr>
        <w:pStyle w:val="1305"/>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05"/>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05"/>
        <w:jc w:val="left"/>
        <w:keepLines w:val="0"/>
        <w:keepNext w:val="0"/>
        <w:pageBreakBefore w:val="0"/>
        <w:spacing w:line="520" w:lineRule="exact"/>
        <w:shd w:val="clear" w:color="auto" w:fill="auto"/>
        <w:widowControl/>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bookmarkStart w:id="422" w:name="_Toc693"/>
      <w:r/>
      <w:bookmarkStart w:id="423" w:name="_Toc18644"/>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类似业绩一览表</w:t>
      </w:r>
      <w:bookmarkEnd w:id="422"/>
      <w:r/>
      <w:bookmarkEnd w:id="423"/>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类似业绩一览表</w:t>
      </w:r>
      <w:r/>
    </w:p>
    <w:tbl>
      <w:tblPr>
        <w:tblStyle w:val="1066"/>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合同期（天）</w:t>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254"/>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24" w:name="xh"/>
            <w:r/>
            <w:bookmarkEnd w:id="424"/>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25" w:name="XmName"/>
            <w:r/>
            <w:bookmarkEnd w:id="425"/>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26" w:name="ZhongBiaoJia"/>
            <w:r/>
            <w:bookmarkEnd w:id="426"/>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dxa"/>
            <w:vAlign w:val="center"/>
            <w:textDirection w:val="lrTb"/>
            <w:noWrap w:val="false"/>
          </w:tcPr>
          <w:p>
            <w:pPr>
              <w:pStyle w:val="1306"/>
              <w:jc w:val="center"/>
              <w:shd w:val="clear" w:color="auto" w:fill="auto"/>
              <w:rPr>
                <w:rStyle w:val="1254"/>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306"/>
        <w:jc w:val="both"/>
        <w:spacing w:before="240" w:after="240"/>
        <w:shd w:val="clear" w:color="auto" w:fill="auto"/>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both"/>
        <w:spacing w:before="240" w:after="240"/>
        <w:shd w:val="clear" w:color="auto" w:fill="auto"/>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headerReference w:type="default" r:id="rId23"/>
          <w:headerReference w:type="first" r:id="rId24"/>
          <w:footerReference w:type="default" r:id="rId33"/>
          <w:footerReference w:type="first" r:id="rId3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7"/>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投标人获得的相关证书</w:t>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各类证书（若有的话）</w:t>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both"/>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8"/>
        <w:jc w:val="left"/>
        <w:shd w:val="clear" w:color="auto" w:fill="auto"/>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3"/>
      </w:pPr>
      <w:r>
        <w:rPr>
          <w:rStyle w:val="1254"/>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投标人获得的相关奖项</w:t>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各类奖项（若有的话）</w:t>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both"/>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6"/>
        <w:jc w:val="center"/>
        <w:keepLines w:val="0"/>
        <w:keepNext w:val="0"/>
        <w:pageBreakBefore w:val="0"/>
        <w:spacing w:before="240" w:after="240" w:line="520" w:lineRule="exact"/>
        <w:shd w:val="clear" w:color="auto" w:fill="auto"/>
        <w:widowControl/>
        <w:rPr>
          <w:rStyle w:val="1254"/>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09"/>
        <w:jc w:val="left"/>
        <w:shd w:val="clear" w:color="auto" w:fill="auto"/>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427" w:name="_Toc29532"/>
      <w:r/>
      <w:bookmarkStart w:id="428" w:name="_Toc7948"/>
      <w:r/>
      <w:bookmarkStart w:id="429" w:name="_Toc15335"/>
      <w:r/>
      <w:bookmarkStart w:id="430" w:name="_Toc285"/>
      <w:r/>
      <w:bookmarkStart w:id="431" w:name="_Toc31660"/>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九</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、技术</w:t>
      </w:r>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要求</w:t>
      </w:r>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响应及偏离表</w:t>
      </w:r>
      <w:bookmarkEnd w:id="427"/>
      <w:r/>
      <w:bookmarkEnd w:id="428"/>
      <w:r/>
      <w:bookmarkEnd w:id="429"/>
      <w:r/>
      <w:bookmarkEnd w:id="430"/>
      <w:r/>
      <w:bookmarkEnd w:id="431"/>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技术要求响应及偏离表</w:t>
      </w:r>
      <w:r/>
    </w:p>
    <w:tbl>
      <w:tblPr>
        <w:tblStyle w:val="1066"/>
        <w:tblW w:w="502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8"/>
        <w:gridCol w:w="2269"/>
        <w:gridCol w:w="2263"/>
        <w:gridCol w:w="1767"/>
        <w:gridCol w:w="921"/>
        <w:gridCol w:w="1349"/>
        <w:gridCol w:w="842"/>
      </w:tblGrid>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bookmarkStart w:id="432" w:name="_Toc18326"/>
            <w:r/>
            <w:bookmarkStart w:id="433" w:name="_Toc27654"/>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1156"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项目需求二、技术要求中的名称（</w:t>
            </w: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若有的话</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Mar>
              <w:left w:w="0" w:type="dxa"/>
              <w:top w:w="0" w:type="dxa"/>
              <w:right w:w="0" w:type="dxa"/>
              <w:bottom w:w="0" w:type="dxa"/>
            </w:tcMar>
            <w:tcW w:w="1153"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项目需求二、技术要求中的要求</w:t>
            </w:r>
            <w:r/>
          </w:p>
        </w:tc>
        <w:tc>
          <w:tcPr>
            <w:tcMar>
              <w:left w:w="0" w:type="dxa"/>
              <w:top w:w="0" w:type="dxa"/>
              <w:right w:w="0" w:type="dxa"/>
              <w:bottom w:w="0" w:type="dxa"/>
            </w:tcMar>
            <w:tcW w:w="900"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投标文件对应要求的服务承诺</w:t>
            </w:r>
            <w:r/>
          </w:p>
        </w:tc>
        <w:tc>
          <w:tcPr>
            <w:tcMar>
              <w:left w:w="0" w:type="dxa"/>
              <w:top w:w="0" w:type="dxa"/>
              <w:right w:w="0" w:type="dxa"/>
              <w:bottom w:w="0" w:type="dxa"/>
            </w:tcMar>
            <w:tcW w:w="469"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有无偏离</w:t>
            </w:r>
            <w:r/>
          </w:p>
        </w:tc>
        <w:tc>
          <w:tcPr>
            <w:tcMar>
              <w:left w:w="0" w:type="dxa"/>
              <w:top w:w="0" w:type="dxa"/>
              <w:right w:w="0" w:type="dxa"/>
              <w:bottom w:w="0" w:type="dxa"/>
            </w:tcMar>
            <w:tcW w:w="687"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偏离内容及原因</w:t>
            </w:r>
            <w:r/>
          </w:p>
        </w:tc>
        <w:tc>
          <w:tcPr>
            <w:tcMar>
              <w:left w:w="0" w:type="dxa"/>
              <w:top w:w="0" w:type="dxa"/>
              <w:right w:w="0" w:type="dxa"/>
              <w:bottom w:w="0" w:type="dxa"/>
            </w:tcMar>
            <w:tcW w:w="429"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0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6"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153"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0"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6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87"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29" w:type="pct"/>
            <w:vAlign w:val="center"/>
            <w:textDirection w:val="lrTb"/>
            <w:noWrap w:val="false"/>
          </w:tcPr>
          <w:p>
            <w:pPr>
              <w:pStyle w:val="1310"/>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31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131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1、投标人应根据招标文件技术要求中的要求对照投标人所提供的服务承诺进行逐项评议。</w:t>
      </w:r>
      <w:r/>
    </w:p>
    <w:p>
      <w:pPr>
        <w:pStyle w:val="131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31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3、表格不够可另接。</w:t>
      </w:r>
      <w:r/>
    </w:p>
    <w:p>
      <w:pPr>
        <w:pStyle w:val="131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1"/>
        <w:jc w:val="both"/>
        <w:keepLines w:val="0"/>
        <w:keepNext w:val="0"/>
        <w:pageBreakBefore w:val="0"/>
        <w:spacing w:line="520" w:lineRule="exact"/>
        <w:shd w:val="clear" w:color="auto" w:fill="auto"/>
        <w:widowControl/>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434" w:name="_Toc26167"/>
      <w:r>
        <w:rPr>
          <w:rStyle w:val="1254"/>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十、商务条款响应及偏离表</w:t>
      </w:r>
      <w:bookmarkEnd w:id="432"/>
      <w:r/>
      <w:bookmarkEnd w:id="433"/>
      <w:r/>
      <w:bookmarkEnd w:id="434"/>
      <w:r/>
      <w:r/>
    </w:p>
    <w:p>
      <w:pPr>
        <w:pStyle w:val="1281"/>
        <w:jc w:val="center"/>
        <w:keepLines w:val="0"/>
        <w:keepNext w:val="0"/>
        <w:pageBreakBefore w:val="0"/>
        <w:spacing w:before="567" w:after="567" w:line="520" w:lineRule="exact"/>
        <w:shd w:val="clear" w:color="auto" w:fill="auto"/>
        <w:widowControl/>
        <w:rPr>
          <w:rStyle w:val="1254"/>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254"/>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商务条款响应及偏离表</w:t>
      </w:r>
      <w:r/>
    </w:p>
    <w:tbl>
      <w:tblPr>
        <w:tblStyle w:val="1066"/>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9"/>
        <w:gridCol w:w="3461"/>
        <w:gridCol w:w="2481"/>
        <w:gridCol w:w="1082"/>
        <w:gridCol w:w="1896"/>
      </w:tblGrid>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序号</w:t>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项目需求三、商务条款中的名称（若有的话）</w:t>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项目需求三、商务条款中的要求</w:t>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是否响应</w:t>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投标人的承诺或说明</w:t>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45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63"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64"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51"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66" w:type="pct"/>
            <w:vAlign w:val="center"/>
            <w:textDirection w:val="lrTb"/>
            <w:noWrap w:val="false"/>
          </w:tcPr>
          <w:p>
            <w:pPr>
              <w:pStyle w:val="1312"/>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313"/>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13"/>
        <w:rPr>
          <w:rStyle w:val="1254"/>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313"/>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435" w:name="_Toc18010"/>
      <w:r/>
      <w:bookmarkStart w:id="436" w:name="_Toc4791"/>
      <w:r/>
      <w:bookmarkStart w:id="437" w:name="_Toc25839"/>
      <w:r/>
      <w:bookmarkStart w:id="438" w:name="_Toc17186"/>
      <w:r/>
      <w:bookmarkStart w:id="439" w:name="_Toc9898"/>
      <w:r/>
      <w:bookmarkStart w:id="440" w:name="_Toc6741"/>
      <w:r>
        <w:rPr>
          <w:rStyle w:val="1254"/>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 xml:space="preserve">十一、</w:t>
      </w:r>
      <w:bookmarkEnd w:id="435"/>
      <w:r>
        <w:rPr>
          <w:rStyle w:val="1254"/>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其他材料</w:t>
      </w:r>
      <w:bookmarkEnd w:id="2"/>
      <w:r/>
      <w:bookmarkEnd w:id="436"/>
      <w:r/>
      <w:bookmarkEnd w:id="437"/>
      <w:r/>
      <w:bookmarkEnd w:id="438"/>
      <w:r/>
      <w:bookmarkEnd w:id="439"/>
      <w:r/>
      <w:bookmarkEnd w:id="440"/>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rPr>
        <w:rStyle w:val="1317"/>
      </w:rPr>
      <w:framePr w:wrap="around" w:vAnchor="text" w:hAnchor="margin" w:xAlign="center" w:y="1"/>
    </w:pPr>
    <w:r>
      <w:fldChar w:fldCharType="begin"/>
    </w:r>
    <w:r>
      <w:rPr>
        <w:rStyle w:val="1317"/>
      </w:rPr>
      <w:instrText xml:space="preserve">PAGE  </w:instrText>
    </w:r>
    <w:r>
      <w:fldChar w:fldCharType="end"/>
    </w:r>
    <w:r/>
  </w:p>
  <w:p>
    <w:pPr>
      <w:pStyle w:val="13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4475" cy="16256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44224"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2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firstLine="360"/>
      <w:rPr>
        <w:rStyle w:val="1317"/>
      </w:rPr>
      <w:framePr w:wrap="around" w:vAnchor="text" w:hAnchor="margin" w:xAlign="right" w:y="1"/>
    </w:pPr>
    <w:r>
      <w:fldChar w:fldCharType="begin"/>
    </w:r>
    <w:r>
      <w:rPr>
        <w:rStyle w:val="1317"/>
        <w:color w:val="000000"/>
      </w:rPr>
      <w:instrText xml:space="preserve">PAGE  </w:instrText>
    </w:r>
    <w:r>
      <w:fldChar w:fldCharType="end"/>
    </w:r>
    <w:r/>
  </w:p>
  <w:p>
    <w:pPr>
      <w:pStyle w:val="131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pPr>
    <w:r>
      <w:fldChar w:fldCharType="begin"/>
    </w:r>
    <w:r>
      <w:instrText xml:space="preserve">PAGE \* MERGEFORMAT</w:instrText>
    </w:r>
    <w:r>
      <w:fldChar w:fldCharType="separate"/>
    </w:r>
    <w:r>
      <w:t xml:space="preserve">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9720" cy="16256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29996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3.6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1465" cy="16256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9130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2.9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7810" cy="16256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25751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282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0.3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282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5115" cy="16256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28487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281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22.4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281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40030" cy="16256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24019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8.9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09245" cy="16256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30947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307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24.3pt;height:12.8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307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rPr>
        <w:sz w:val="24"/>
        <w:szCs w:val="24"/>
      </w:rPr>
      <w:pBdr>
        <w:bottom w:val="single" w:color="000000" w:sz="4" w:space="1"/>
      </w:pBdr>
    </w:pPr>
    <w:r>
      <w:rPr>
        <w:rFonts w:hint="eastAsia"/>
        <w:sz w:val="24"/>
        <w:szCs w:val="24"/>
      </w:rPr>
      <w:t xml:space="preserve">苏州政合信咨询管理服务有限公司招标文件</w:t>
    </w:r>
    <w:r/>
  </w:p>
  <w:p>
    <w:pPr>
      <w:pStyle w:val="13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rPr>
        <w:sz w:val="24"/>
        <w:szCs w:val="24"/>
      </w:rPr>
      <w:pBdr>
        <w:bottom w:val="single" w:color="000000"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left"/>
      <w:pBdr>
        <w:bottom w:val="single" w:color="000000"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5" w:default="1">
    <w:name w:val="Normal"/>
    <w:next w:val="1067"/>
    <w:link w:val="1317"/>
    <w:uiPriority w:val="0"/>
    <w:qFormat/>
    <w:pPr>
      <w:jc w:val="both"/>
      <w:widowControl w:val="off"/>
    </w:pPr>
    <w:rPr>
      <w:rFonts w:hint="default" w:ascii="Calibri" w:hAnsi="Calibri" w:eastAsia="宋体" w:cs="Times New Roman"/>
      <w:sz w:val="21"/>
      <w:szCs w:val="22"/>
      <w:lang w:val="en-US" w:eastAsia="zh-CN" w:bidi="ar-SA"/>
    </w:rPr>
  </w:style>
  <w:style w:type="paragraph" w:styleId="1056">
    <w:name w:val="Heading 1"/>
    <w:basedOn w:val="1055"/>
    <w:next w:val="1055"/>
    <w:link w:val="1094"/>
    <w:uiPriority w:val="9"/>
    <w:qFormat/>
    <w:pPr>
      <w:keepLines/>
      <w:keepNext/>
      <w:spacing w:before="480" w:after="200"/>
      <w:outlineLvl w:val="0"/>
    </w:pPr>
    <w:rPr>
      <w:rFonts w:ascii="Arial" w:hAnsi="Arial" w:eastAsia="Arial" w:cs="Arial"/>
      <w:sz w:val="40"/>
      <w:szCs w:val="40"/>
    </w:rPr>
  </w:style>
  <w:style w:type="paragraph" w:styleId="1057">
    <w:name w:val="Heading 2"/>
    <w:basedOn w:val="1055"/>
    <w:next w:val="1055"/>
    <w:link w:val="1095"/>
    <w:uiPriority w:val="9"/>
    <w:unhideWhenUsed/>
    <w:qFormat/>
    <w:pPr>
      <w:keepLines/>
      <w:keepNext/>
      <w:spacing w:before="360" w:after="200"/>
      <w:outlineLvl w:val="1"/>
    </w:pPr>
    <w:rPr>
      <w:rFonts w:ascii="Arial" w:hAnsi="Arial" w:eastAsia="Arial" w:cs="Arial"/>
      <w:sz w:val="34"/>
    </w:rPr>
  </w:style>
  <w:style w:type="paragraph" w:styleId="1058">
    <w:name w:val="Heading 3"/>
    <w:basedOn w:val="1055"/>
    <w:next w:val="1055"/>
    <w:link w:val="1096"/>
    <w:uiPriority w:val="9"/>
    <w:unhideWhenUsed/>
    <w:qFormat/>
    <w:pPr>
      <w:keepLines/>
      <w:keepNext/>
      <w:spacing w:before="320" w:after="200"/>
      <w:outlineLvl w:val="2"/>
    </w:pPr>
    <w:rPr>
      <w:rFonts w:ascii="Arial" w:hAnsi="Arial" w:eastAsia="Arial" w:cs="Arial"/>
      <w:sz w:val="30"/>
      <w:szCs w:val="30"/>
    </w:rPr>
  </w:style>
  <w:style w:type="paragraph" w:styleId="1059">
    <w:name w:val="Heading 4"/>
    <w:basedOn w:val="1055"/>
    <w:next w:val="1055"/>
    <w:link w:val="1097"/>
    <w:uiPriority w:val="9"/>
    <w:unhideWhenUsed/>
    <w:qFormat/>
    <w:pPr>
      <w:keepLines/>
      <w:keepNext/>
      <w:spacing w:before="320" w:after="200"/>
      <w:outlineLvl w:val="3"/>
    </w:pPr>
    <w:rPr>
      <w:rFonts w:ascii="Arial" w:hAnsi="Arial" w:eastAsia="Arial" w:cs="Arial"/>
      <w:b/>
      <w:bCs/>
      <w:sz w:val="26"/>
      <w:szCs w:val="26"/>
    </w:rPr>
  </w:style>
  <w:style w:type="paragraph" w:styleId="1060">
    <w:name w:val="Heading 5"/>
    <w:basedOn w:val="1055"/>
    <w:next w:val="1055"/>
    <w:link w:val="1098"/>
    <w:uiPriority w:val="9"/>
    <w:unhideWhenUsed/>
    <w:qFormat/>
    <w:pPr>
      <w:keepLines/>
      <w:keepNext/>
      <w:spacing w:before="320" w:after="200"/>
      <w:outlineLvl w:val="4"/>
    </w:pPr>
    <w:rPr>
      <w:rFonts w:ascii="Arial" w:hAnsi="Arial" w:eastAsia="Arial" w:cs="Arial"/>
      <w:b/>
      <w:bCs/>
      <w:sz w:val="24"/>
      <w:szCs w:val="24"/>
    </w:rPr>
  </w:style>
  <w:style w:type="paragraph" w:styleId="1061">
    <w:name w:val="Heading 6"/>
    <w:basedOn w:val="1055"/>
    <w:next w:val="1055"/>
    <w:link w:val="1099"/>
    <w:uiPriority w:val="9"/>
    <w:unhideWhenUsed/>
    <w:qFormat/>
    <w:pPr>
      <w:keepLines/>
      <w:keepNext/>
      <w:spacing w:before="320" w:after="200"/>
      <w:outlineLvl w:val="5"/>
    </w:pPr>
    <w:rPr>
      <w:rFonts w:ascii="Arial" w:hAnsi="Arial" w:eastAsia="Arial" w:cs="Arial"/>
      <w:b/>
      <w:bCs/>
      <w:sz w:val="22"/>
      <w:szCs w:val="22"/>
    </w:rPr>
  </w:style>
  <w:style w:type="paragraph" w:styleId="1062">
    <w:name w:val="Heading 7"/>
    <w:basedOn w:val="1055"/>
    <w:next w:val="1055"/>
    <w:link w:val="1100"/>
    <w:uiPriority w:val="9"/>
    <w:unhideWhenUsed/>
    <w:qFormat/>
    <w:pPr>
      <w:keepLines/>
      <w:keepNext/>
      <w:spacing w:before="320" w:after="200"/>
      <w:outlineLvl w:val="6"/>
    </w:pPr>
    <w:rPr>
      <w:rFonts w:ascii="Arial" w:hAnsi="Arial" w:eastAsia="Arial" w:cs="Arial"/>
      <w:b/>
      <w:bCs/>
      <w:i/>
      <w:iCs/>
      <w:sz w:val="22"/>
      <w:szCs w:val="22"/>
    </w:rPr>
  </w:style>
  <w:style w:type="paragraph" w:styleId="1063">
    <w:name w:val="Heading 8"/>
    <w:basedOn w:val="1055"/>
    <w:next w:val="1055"/>
    <w:link w:val="1101"/>
    <w:uiPriority w:val="9"/>
    <w:unhideWhenUsed/>
    <w:qFormat/>
    <w:pPr>
      <w:keepLines/>
      <w:keepNext/>
      <w:spacing w:before="320" w:after="200"/>
      <w:outlineLvl w:val="7"/>
    </w:pPr>
    <w:rPr>
      <w:rFonts w:ascii="Arial" w:hAnsi="Arial" w:eastAsia="Arial" w:cs="Arial"/>
      <w:i/>
      <w:iCs/>
      <w:sz w:val="22"/>
      <w:szCs w:val="22"/>
    </w:rPr>
  </w:style>
  <w:style w:type="paragraph" w:styleId="1064">
    <w:name w:val="Heading 9"/>
    <w:basedOn w:val="1055"/>
    <w:next w:val="1055"/>
    <w:link w:val="1102"/>
    <w:uiPriority w:val="9"/>
    <w:unhideWhenUsed/>
    <w:qFormat/>
    <w:pPr>
      <w:keepLines/>
      <w:keepNext/>
      <w:spacing w:before="320" w:after="200"/>
      <w:outlineLvl w:val="8"/>
    </w:pPr>
    <w:rPr>
      <w:rFonts w:ascii="Arial" w:hAnsi="Arial" w:eastAsia="Arial" w:cs="Arial"/>
      <w:i/>
      <w:iCs/>
      <w:sz w:val="21"/>
      <w:szCs w:val="21"/>
    </w:rPr>
  </w:style>
  <w:style w:type="character" w:styleId="1065" w:default="1">
    <w:name w:val="Default Paragraph Font"/>
    <w:uiPriority w:val="0"/>
    <w:semiHidden/>
    <w:qFormat/>
  </w:style>
  <w:style w:type="table" w:styleId="1066" w:default="1">
    <w:name w:val="Normal Table"/>
    <w:uiPriority w:val="0"/>
    <w:semiHidden/>
    <w:qFormat/>
    <w:tblPr>
      <w:tblCellMar>
        <w:left w:w="108" w:type="dxa"/>
        <w:top w:w="0" w:type="dxa"/>
        <w:right w:w="108" w:type="dxa"/>
        <w:bottom w:w="0" w:type="dxa"/>
      </w:tblCellMar>
    </w:tblPr>
  </w:style>
  <w:style w:type="paragraph" w:styleId="1067" w:customStyle="1">
    <w:name w:val="首行缩进"/>
    <w:basedOn w:val="1055"/>
    <w:uiPriority w:val="0"/>
    <w:qFormat/>
    <w:pPr>
      <w:ind w:firstLine="480"/>
      <w:jc w:val="left"/>
      <w:spacing w:line="360" w:lineRule="auto"/>
    </w:pPr>
    <w:rPr>
      <w:rFonts w:ascii="宋体" w:hAnsi="宋体"/>
      <w:sz w:val="24"/>
    </w:rPr>
  </w:style>
  <w:style w:type="paragraph" w:styleId="1068">
    <w:name w:val="toc 7"/>
    <w:basedOn w:val="1055"/>
    <w:next w:val="1055"/>
    <w:uiPriority w:val="39"/>
    <w:unhideWhenUsed/>
    <w:qFormat/>
    <w:pPr>
      <w:ind w:left="1701" w:right="0" w:firstLine="0"/>
      <w:spacing w:after="57"/>
    </w:pPr>
  </w:style>
  <w:style w:type="paragraph" w:styleId="1069">
    <w:name w:val="Normal Indent"/>
    <w:basedOn w:val="1055"/>
    <w:next w:val="1055"/>
    <w:uiPriority w:val="0"/>
    <w:qFormat/>
    <w:pPr>
      <w:ind w:firstLine="420"/>
    </w:pPr>
    <w:rPr>
      <w:szCs w:val="21"/>
    </w:rPr>
  </w:style>
  <w:style w:type="paragraph" w:styleId="1070">
    <w:name w:val="Caption"/>
    <w:basedOn w:val="1055"/>
    <w:next w:val="10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71">
    <w:name w:val="Body Text Indent"/>
    <w:basedOn w:val="1055"/>
    <w:next w:val="1072"/>
    <w:uiPriority w:val="0"/>
    <w:qFormat/>
    <w:pPr>
      <w:ind w:firstLine="645"/>
    </w:pPr>
    <w:rPr>
      <w:rFonts w:ascii="楷体_GB2312" w:hAnsi="宋体" w:eastAsia="楷体_GB2312" w:cs="宋体"/>
      <w:sz w:val="32"/>
      <w:szCs w:val="32"/>
    </w:rPr>
  </w:style>
  <w:style w:type="paragraph" w:styleId="1072">
    <w:name w:val="envelope return"/>
    <w:basedOn w:val="1055"/>
    <w:uiPriority w:val="99"/>
    <w:qFormat/>
    <w:rPr>
      <w:rFonts w:ascii="Arial" w:hAnsi="Arial"/>
    </w:rPr>
  </w:style>
  <w:style w:type="paragraph" w:styleId="1073">
    <w:name w:val="toc 5"/>
    <w:basedOn w:val="1055"/>
    <w:next w:val="1055"/>
    <w:uiPriority w:val="39"/>
    <w:unhideWhenUsed/>
    <w:qFormat/>
    <w:pPr>
      <w:ind w:left="1134" w:right="0" w:firstLine="0"/>
      <w:spacing w:after="57"/>
    </w:pPr>
  </w:style>
  <w:style w:type="paragraph" w:styleId="1074">
    <w:name w:val="toc 3"/>
    <w:basedOn w:val="1055"/>
    <w:next w:val="1055"/>
    <w:uiPriority w:val="39"/>
    <w:unhideWhenUsed/>
    <w:qFormat/>
    <w:pPr>
      <w:ind w:left="567" w:right="0" w:firstLine="0"/>
      <w:spacing w:after="57"/>
    </w:pPr>
  </w:style>
  <w:style w:type="paragraph" w:styleId="1075">
    <w:name w:val="toc 8"/>
    <w:basedOn w:val="1055"/>
    <w:next w:val="1055"/>
    <w:uiPriority w:val="39"/>
    <w:unhideWhenUsed/>
    <w:qFormat/>
    <w:pPr>
      <w:ind w:left="1984" w:right="0" w:firstLine="0"/>
      <w:spacing w:after="57"/>
    </w:pPr>
  </w:style>
  <w:style w:type="paragraph" w:styleId="1076">
    <w:name w:val="endnote text"/>
    <w:basedOn w:val="1055"/>
    <w:link w:val="1240"/>
    <w:uiPriority w:val="99"/>
    <w:semiHidden/>
    <w:unhideWhenUsed/>
    <w:qFormat/>
    <w:pPr>
      <w:spacing w:after="0" w:line="240" w:lineRule="auto"/>
    </w:pPr>
    <w:rPr>
      <w:sz w:val="20"/>
    </w:rPr>
  </w:style>
  <w:style w:type="paragraph" w:styleId="1077">
    <w:name w:val="Footer"/>
    <w:basedOn w:val="1055"/>
    <w:uiPriority w:val="99"/>
    <w:unhideWhenUsed/>
    <w:qFormat/>
    <w:pPr>
      <w:spacing w:after="0" w:line="240" w:lineRule="auto"/>
      <w:tabs>
        <w:tab w:val="center" w:pos="7143" w:leader="none"/>
        <w:tab w:val="right" w:pos="14287" w:leader="none"/>
      </w:tabs>
    </w:pPr>
  </w:style>
  <w:style w:type="paragraph" w:styleId="1078">
    <w:name w:val="Header"/>
    <w:basedOn w:val="1055"/>
    <w:link w:val="1111"/>
    <w:uiPriority w:val="99"/>
    <w:unhideWhenUsed/>
    <w:qFormat/>
    <w:pPr>
      <w:spacing w:after="0" w:line="240" w:lineRule="auto"/>
      <w:tabs>
        <w:tab w:val="center" w:pos="7143" w:leader="none"/>
        <w:tab w:val="right" w:pos="14287" w:leader="none"/>
      </w:tabs>
    </w:pPr>
  </w:style>
  <w:style w:type="paragraph" w:styleId="1079">
    <w:name w:val="toc 1"/>
    <w:basedOn w:val="1055"/>
    <w:next w:val="1055"/>
    <w:uiPriority w:val="39"/>
    <w:unhideWhenUsed/>
    <w:qFormat/>
    <w:pPr>
      <w:ind w:left="0" w:right="0" w:firstLine="0"/>
      <w:spacing w:after="57"/>
    </w:pPr>
  </w:style>
  <w:style w:type="paragraph" w:styleId="1080">
    <w:name w:val="toc 4"/>
    <w:basedOn w:val="1055"/>
    <w:next w:val="1055"/>
    <w:uiPriority w:val="39"/>
    <w:unhideWhenUsed/>
    <w:qFormat/>
    <w:pPr>
      <w:ind w:left="850" w:right="0" w:firstLine="0"/>
      <w:spacing w:after="57"/>
    </w:pPr>
  </w:style>
  <w:style w:type="paragraph" w:styleId="1081">
    <w:name w:val="Subtitle"/>
    <w:basedOn w:val="1055"/>
    <w:next w:val="1055"/>
    <w:link w:val="1106"/>
    <w:uiPriority w:val="11"/>
    <w:qFormat/>
    <w:pPr>
      <w:spacing w:before="200" w:after="200"/>
    </w:pPr>
    <w:rPr>
      <w:sz w:val="24"/>
      <w:szCs w:val="24"/>
    </w:rPr>
  </w:style>
  <w:style w:type="paragraph" w:styleId="1082">
    <w:name w:val="footnote text"/>
    <w:basedOn w:val="1055"/>
    <w:link w:val="1239"/>
    <w:uiPriority w:val="99"/>
    <w:semiHidden/>
    <w:unhideWhenUsed/>
    <w:qFormat/>
    <w:pPr>
      <w:spacing w:after="40" w:line="240" w:lineRule="auto"/>
    </w:pPr>
    <w:rPr>
      <w:sz w:val="18"/>
    </w:rPr>
  </w:style>
  <w:style w:type="paragraph" w:styleId="1083">
    <w:name w:val="toc 6"/>
    <w:basedOn w:val="1055"/>
    <w:next w:val="1055"/>
    <w:uiPriority w:val="39"/>
    <w:unhideWhenUsed/>
    <w:qFormat/>
    <w:pPr>
      <w:ind w:left="1417" w:right="0" w:firstLine="0"/>
      <w:spacing w:after="57"/>
    </w:pPr>
  </w:style>
  <w:style w:type="paragraph" w:styleId="1084">
    <w:name w:val="table of figures"/>
    <w:basedOn w:val="1055"/>
    <w:next w:val="1055"/>
    <w:uiPriority w:val="99"/>
    <w:unhideWhenUsed/>
    <w:qFormat/>
    <w:pPr>
      <w:spacing w:after="0" w:afterAutospacing="0"/>
    </w:pPr>
  </w:style>
  <w:style w:type="paragraph" w:styleId="1085">
    <w:name w:val="toc 2"/>
    <w:basedOn w:val="1055"/>
    <w:next w:val="1055"/>
    <w:uiPriority w:val="39"/>
    <w:unhideWhenUsed/>
    <w:qFormat/>
    <w:pPr>
      <w:ind w:left="283" w:right="0" w:firstLine="0"/>
      <w:spacing w:after="57"/>
    </w:pPr>
  </w:style>
  <w:style w:type="paragraph" w:styleId="1086">
    <w:name w:val="toc 9"/>
    <w:basedOn w:val="1055"/>
    <w:next w:val="1055"/>
    <w:uiPriority w:val="39"/>
    <w:unhideWhenUsed/>
    <w:qFormat/>
    <w:pPr>
      <w:ind w:left="2268" w:right="0" w:firstLine="0"/>
      <w:spacing w:after="57"/>
    </w:pPr>
  </w:style>
  <w:style w:type="paragraph" w:styleId="1087">
    <w:name w:val="Title"/>
    <w:basedOn w:val="1055"/>
    <w:next w:val="1055"/>
    <w:link w:val="1105"/>
    <w:uiPriority w:val="10"/>
    <w:qFormat/>
    <w:pPr>
      <w:contextualSpacing/>
      <w:spacing w:before="300" w:after="200"/>
    </w:pPr>
    <w:rPr>
      <w:sz w:val="48"/>
      <w:szCs w:val="48"/>
    </w:rPr>
  </w:style>
  <w:style w:type="paragraph" w:styleId="1088">
    <w:name w:val="Body Text First Indent 2"/>
    <w:basedOn w:val="1071"/>
    <w:uiPriority w:val="0"/>
    <w:qFormat/>
    <w:pPr>
      <w:ind w:firstLine="200"/>
      <w:spacing w:line="360" w:lineRule="auto"/>
    </w:pPr>
    <w:rPr>
      <w:rFonts w:ascii="宋体" w:eastAsia="宋体"/>
      <w:sz w:val="21"/>
      <w:szCs w:val="20"/>
    </w:rPr>
  </w:style>
  <w:style w:type="table" w:styleId="10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0">
    <w:name w:val="Strong"/>
    <w:basedOn w:val="1065"/>
    <w:uiPriority w:val="0"/>
    <w:qFormat/>
    <w:rPr>
      <w:b/>
    </w:rPr>
  </w:style>
  <w:style w:type="character" w:styleId="1091">
    <w:name w:val="endnote reference"/>
    <w:basedOn w:val="1065"/>
    <w:uiPriority w:val="99"/>
    <w:semiHidden/>
    <w:unhideWhenUsed/>
    <w:qFormat/>
    <w:rPr>
      <w:vertAlign w:val="superscript"/>
    </w:rPr>
  </w:style>
  <w:style w:type="character" w:styleId="1092">
    <w:name w:val="Hyperlink"/>
    <w:uiPriority w:val="99"/>
    <w:unhideWhenUsed/>
    <w:qFormat/>
    <w:rPr>
      <w:color w:val="0026e5" w:themeColor="hyperlink"/>
      <w:u w:val="single"/>
      <w14:textFill>
        <w14:solidFill>
          <w14:schemeClr w14:val="hlink"/>
        </w14:solidFill>
      </w14:textFill>
    </w:rPr>
  </w:style>
  <w:style w:type="character" w:styleId="1093">
    <w:name w:val="footnote reference"/>
    <w:basedOn w:val="1065"/>
    <w:uiPriority w:val="99"/>
    <w:unhideWhenUsed/>
    <w:qFormat/>
    <w:rPr>
      <w:vertAlign w:val="superscript"/>
    </w:rPr>
  </w:style>
  <w:style w:type="character" w:styleId="1094" w:customStyle="1">
    <w:name w:val="Heading 1 Char"/>
    <w:basedOn w:val="1065"/>
    <w:link w:val="1056"/>
    <w:uiPriority w:val="9"/>
    <w:qFormat/>
    <w:rPr>
      <w:rFonts w:ascii="Arial" w:hAnsi="Arial" w:eastAsia="Arial" w:cs="Arial"/>
      <w:sz w:val="40"/>
      <w:szCs w:val="40"/>
    </w:rPr>
  </w:style>
  <w:style w:type="character" w:styleId="1095" w:customStyle="1">
    <w:name w:val="Heading 2 Char"/>
    <w:basedOn w:val="1065"/>
    <w:link w:val="1057"/>
    <w:uiPriority w:val="9"/>
    <w:qFormat/>
    <w:rPr>
      <w:rFonts w:ascii="Arial" w:hAnsi="Arial" w:eastAsia="Arial" w:cs="Arial"/>
      <w:sz w:val="34"/>
    </w:rPr>
  </w:style>
  <w:style w:type="character" w:styleId="1096" w:customStyle="1">
    <w:name w:val="Heading 3 Char"/>
    <w:basedOn w:val="1065"/>
    <w:link w:val="1058"/>
    <w:uiPriority w:val="9"/>
    <w:qFormat/>
    <w:rPr>
      <w:rFonts w:ascii="Arial" w:hAnsi="Arial" w:eastAsia="Arial" w:cs="Arial"/>
      <w:sz w:val="30"/>
      <w:szCs w:val="30"/>
    </w:rPr>
  </w:style>
  <w:style w:type="character" w:styleId="1097" w:customStyle="1">
    <w:name w:val="Heading 4 Char"/>
    <w:basedOn w:val="1065"/>
    <w:link w:val="1059"/>
    <w:uiPriority w:val="9"/>
    <w:qFormat/>
    <w:rPr>
      <w:rFonts w:ascii="Arial" w:hAnsi="Arial" w:eastAsia="Arial" w:cs="Arial"/>
      <w:b/>
      <w:bCs/>
      <w:sz w:val="26"/>
      <w:szCs w:val="26"/>
    </w:rPr>
  </w:style>
  <w:style w:type="character" w:styleId="1098" w:customStyle="1">
    <w:name w:val="Heading 5 Char"/>
    <w:basedOn w:val="1065"/>
    <w:link w:val="1060"/>
    <w:uiPriority w:val="9"/>
    <w:qFormat/>
    <w:rPr>
      <w:rFonts w:ascii="Arial" w:hAnsi="Arial" w:eastAsia="Arial" w:cs="Arial"/>
      <w:b/>
      <w:bCs/>
      <w:sz w:val="24"/>
      <w:szCs w:val="24"/>
    </w:rPr>
  </w:style>
  <w:style w:type="character" w:styleId="1099" w:customStyle="1">
    <w:name w:val="Heading 6 Char"/>
    <w:basedOn w:val="1065"/>
    <w:link w:val="1061"/>
    <w:uiPriority w:val="9"/>
    <w:qFormat/>
    <w:rPr>
      <w:rFonts w:ascii="Arial" w:hAnsi="Arial" w:eastAsia="Arial" w:cs="Arial"/>
      <w:b/>
      <w:bCs/>
      <w:sz w:val="22"/>
      <w:szCs w:val="22"/>
    </w:rPr>
  </w:style>
  <w:style w:type="character" w:styleId="1100" w:customStyle="1">
    <w:name w:val="Heading 7 Char"/>
    <w:basedOn w:val="1065"/>
    <w:link w:val="1062"/>
    <w:uiPriority w:val="9"/>
    <w:qFormat/>
    <w:rPr>
      <w:rFonts w:ascii="Arial" w:hAnsi="Arial" w:eastAsia="Arial" w:cs="Arial"/>
      <w:b/>
      <w:bCs/>
      <w:i/>
      <w:iCs/>
      <w:sz w:val="22"/>
      <w:szCs w:val="22"/>
    </w:rPr>
  </w:style>
  <w:style w:type="character" w:styleId="1101" w:customStyle="1">
    <w:name w:val="Heading 8 Char"/>
    <w:basedOn w:val="1065"/>
    <w:link w:val="1063"/>
    <w:uiPriority w:val="9"/>
    <w:qFormat/>
    <w:rPr>
      <w:rFonts w:ascii="Arial" w:hAnsi="Arial" w:eastAsia="Arial" w:cs="Arial"/>
      <w:i/>
      <w:iCs/>
      <w:sz w:val="22"/>
      <w:szCs w:val="22"/>
    </w:rPr>
  </w:style>
  <w:style w:type="character" w:styleId="1102" w:customStyle="1">
    <w:name w:val="Heading 9 Char"/>
    <w:basedOn w:val="1065"/>
    <w:link w:val="1064"/>
    <w:uiPriority w:val="9"/>
    <w:qFormat/>
    <w:rPr>
      <w:rFonts w:ascii="Arial" w:hAnsi="Arial" w:eastAsia="Arial" w:cs="Arial"/>
      <w:i/>
      <w:iCs/>
      <w:sz w:val="21"/>
      <w:szCs w:val="21"/>
    </w:rPr>
  </w:style>
  <w:style w:type="paragraph" w:styleId="1103">
    <w:name w:val="List Paragraph"/>
    <w:basedOn w:val="1055"/>
    <w:uiPriority w:val="34"/>
    <w:qFormat/>
    <w:pPr>
      <w:contextualSpacing/>
      <w:ind w:left="720"/>
    </w:pPr>
  </w:style>
  <w:style w:type="paragraph" w:styleId="1104">
    <w:name w:val="No Spacing"/>
    <w:uiPriority w:val="1"/>
    <w:qFormat/>
    <w:pPr>
      <w:spacing w:before="0" w:after="0" w:line="240" w:lineRule="auto"/>
    </w:pPr>
    <w:rPr>
      <w:rFonts w:hint="default" w:ascii="Times New Roman" w:hAnsi="Times New Roman" w:eastAsia="宋体" w:cs="Times New Roman"/>
    </w:rPr>
  </w:style>
  <w:style w:type="character" w:styleId="1105" w:customStyle="1">
    <w:name w:val="Title Char"/>
    <w:basedOn w:val="1065"/>
    <w:link w:val="1087"/>
    <w:uiPriority w:val="10"/>
    <w:qFormat/>
    <w:rPr>
      <w:sz w:val="48"/>
      <w:szCs w:val="48"/>
    </w:rPr>
  </w:style>
  <w:style w:type="character" w:styleId="1106" w:customStyle="1">
    <w:name w:val="Subtitle Char"/>
    <w:basedOn w:val="1065"/>
    <w:link w:val="1081"/>
    <w:uiPriority w:val="11"/>
    <w:qFormat/>
    <w:rPr>
      <w:sz w:val="24"/>
      <w:szCs w:val="24"/>
    </w:rPr>
  </w:style>
  <w:style w:type="paragraph" w:styleId="1107">
    <w:name w:val="Quote"/>
    <w:basedOn w:val="1055"/>
    <w:next w:val="1055"/>
    <w:link w:val="1108"/>
    <w:uiPriority w:val="29"/>
    <w:qFormat/>
    <w:pPr>
      <w:ind w:left="720" w:right="720"/>
    </w:pPr>
    <w:rPr>
      <w:i/>
    </w:rPr>
  </w:style>
  <w:style w:type="character" w:styleId="1108" w:customStyle="1">
    <w:name w:val="Quote Char"/>
    <w:link w:val="1107"/>
    <w:uiPriority w:val="29"/>
    <w:qFormat/>
    <w:rPr>
      <w:i/>
    </w:rPr>
  </w:style>
  <w:style w:type="paragraph" w:styleId="1109">
    <w:name w:val="Intense Quote"/>
    <w:basedOn w:val="1055"/>
    <w:next w:val="1055"/>
    <w:link w:val="11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0" w:customStyle="1">
    <w:name w:val="Intense Quote Char"/>
    <w:link w:val="1109"/>
    <w:uiPriority w:val="30"/>
    <w:qFormat/>
    <w:rPr>
      <w:i/>
    </w:rPr>
  </w:style>
  <w:style w:type="character" w:styleId="1111" w:customStyle="1">
    <w:name w:val="Header Char"/>
    <w:basedOn w:val="1065"/>
    <w:link w:val="1078"/>
    <w:uiPriority w:val="99"/>
    <w:qFormat/>
  </w:style>
  <w:style w:type="character" w:styleId="1112" w:customStyle="1">
    <w:name w:val="Footer Char"/>
    <w:basedOn w:val="1065"/>
    <w:uiPriority w:val="99"/>
    <w:qFormat/>
  </w:style>
  <w:style w:type="character" w:styleId="1113" w:customStyle="1">
    <w:name w:val="Caption Char"/>
    <w:uiPriority w:val="99"/>
    <w:qFormat/>
  </w:style>
  <w:style w:type="table" w:styleId="1114" w:customStyle="1">
    <w:name w:val="Table Grid Light"/>
    <w:basedOn w:val="10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5" w:customStyle="1">
    <w:name w:val="Plain Table 1"/>
    <w:basedOn w:val="10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customStyle="1">
    <w:name w:val="Plain Table 2"/>
    <w:basedOn w:val="10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3"/>
    <w:basedOn w:val="10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customStyle="1">
    <w:name w:val="Plain Table 4"/>
    <w:basedOn w:val="10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customStyle="1">
    <w:name w:val="Plain Table 5"/>
    <w:basedOn w:val="10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0" w:customStyle="1">
    <w:name w:val="Grid Table 1 Light"/>
    <w:basedOn w:val="10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1"/>
    <w:basedOn w:val="10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2"/>
    <w:basedOn w:val="10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3"/>
    <w:basedOn w:val="10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4"/>
    <w:basedOn w:val="10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5"/>
    <w:basedOn w:val="10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6"/>
    <w:basedOn w:val="10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27" w:customStyle="1">
    <w:name w:val="Grid Table 2"/>
    <w:basedOn w:val="10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8" w:customStyle="1">
    <w:name w:val="Grid Table 2 - Accent 1"/>
    <w:basedOn w:val="10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29" w:customStyle="1">
    <w:name w:val="Grid Table 2 - Accent 2"/>
    <w:basedOn w:val="10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0" w:customStyle="1">
    <w:name w:val="Grid Table 2 - Accent 3"/>
    <w:basedOn w:val="10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31" w:customStyle="1">
    <w:name w:val="Grid Table 2 - Accent 4"/>
    <w:basedOn w:val="10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32" w:customStyle="1">
    <w:name w:val="Grid Table 2 - Accent 5"/>
    <w:basedOn w:val="10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33" w:customStyle="1">
    <w:name w:val="Grid Table 2 - Accent 6"/>
    <w:basedOn w:val="10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34" w:customStyle="1">
    <w:name w:val="Grid Table 3"/>
    <w:basedOn w:val="10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1"/>
    <w:basedOn w:val="10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2"/>
    <w:basedOn w:val="10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3"/>
    <w:basedOn w:val="10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4"/>
    <w:basedOn w:val="10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5"/>
    <w:basedOn w:val="10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6"/>
    <w:basedOn w:val="10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4"/>
    <w:basedOn w:val="10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2" w:customStyle="1">
    <w:name w:val="Grid Table 4 - Accent 1"/>
    <w:basedOn w:val="10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43" w:customStyle="1">
    <w:name w:val="Grid Table 4 - Accent 2"/>
    <w:basedOn w:val="10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44" w:customStyle="1">
    <w:name w:val="Grid Table 4 - Accent 3"/>
    <w:basedOn w:val="10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45" w:customStyle="1">
    <w:name w:val="Grid Table 4 - Accent 4"/>
    <w:basedOn w:val="10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46" w:customStyle="1">
    <w:name w:val="Grid Table 4 - Accent 5"/>
    <w:basedOn w:val="10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47" w:customStyle="1">
    <w:name w:val="Grid Table 4 - Accent 6"/>
    <w:basedOn w:val="10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48" w:customStyle="1">
    <w:name w:val="Grid Table 5 Dark"/>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9" w:customStyle="1">
    <w:name w:val="Grid Table 5 Dark- Accent 1"/>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0" w:customStyle="1">
    <w:name w:val="Grid Table 5 Dark - Accent 2"/>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51" w:customStyle="1">
    <w:name w:val="Grid Table 5 Dark - Accent 3"/>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52" w:customStyle="1">
    <w:name w:val="Grid Table 5 Dark- Accent 4"/>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53" w:customStyle="1">
    <w:name w:val="Grid Table 5 Dark - Accent 5"/>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54" w:customStyle="1">
    <w:name w:val="Grid Table 5 Dark - Accent 6"/>
    <w:basedOn w:val="10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55" w:customStyle="1">
    <w:name w:val="Grid Table 6 Colorful"/>
    <w:basedOn w:val="10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6 Colorful - Accent 1"/>
    <w:basedOn w:val="10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57" w:customStyle="1">
    <w:name w:val="Grid Table 6 Colorful - Accent 2"/>
    <w:basedOn w:val="10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58" w:customStyle="1">
    <w:name w:val="Grid Table 6 Colorful - Accent 3"/>
    <w:basedOn w:val="10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59" w:customStyle="1">
    <w:name w:val="Grid Table 6 Colorful - Accent 4"/>
    <w:basedOn w:val="10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0" w:customStyle="1">
    <w:name w:val="Grid Table 6 Colorful - Accent 5"/>
    <w:basedOn w:val="10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1" w:customStyle="1">
    <w:name w:val="Grid Table 6 Colorful - Accent 6"/>
    <w:basedOn w:val="10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2" w:customStyle="1">
    <w:name w:val="Grid Table 7 Colorful"/>
    <w:basedOn w:val="10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Grid Table 7 Colorful - Accent 1"/>
    <w:basedOn w:val="10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64" w:customStyle="1">
    <w:name w:val="Grid Table 7 Colorful - Accent 2"/>
    <w:basedOn w:val="10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5" w:customStyle="1">
    <w:name w:val="Grid Table 7 Colorful - Accent 3"/>
    <w:basedOn w:val="10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66" w:customStyle="1">
    <w:name w:val="Grid Table 7 Colorful - Accent 4"/>
    <w:basedOn w:val="10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67" w:customStyle="1">
    <w:name w:val="Grid Table 7 Colorful - Accent 5"/>
    <w:basedOn w:val="10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68" w:customStyle="1">
    <w:name w:val="Grid Table 7 Colorful - Accent 6"/>
    <w:basedOn w:val="10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69" w:customStyle="1">
    <w:name w:val="List Table 1 Light"/>
    <w:basedOn w:val="10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customStyle="1">
    <w:name w:val="List Table 1 Light - Accent 1"/>
    <w:basedOn w:val="10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basedOn w:val="10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basedOn w:val="10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basedOn w:val="10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basedOn w:val="10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basedOn w:val="10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76" w:customStyle="1">
    <w:name w:val="List Table 2"/>
    <w:basedOn w:val="10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7" w:customStyle="1">
    <w:name w:val="List Table 2 - Accent 1"/>
    <w:basedOn w:val="10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78" w:customStyle="1">
    <w:name w:val="List Table 2 - Accent 2"/>
    <w:basedOn w:val="10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79" w:customStyle="1">
    <w:name w:val="List Table 2 - Accent 3"/>
    <w:basedOn w:val="10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0" w:customStyle="1">
    <w:name w:val="List Table 2 - Accent 4"/>
    <w:basedOn w:val="10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81" w:customStyle="1">
    <w:name w:val="List Table 2 - Accent 5"/>
    <w:basedOn w:val="10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82" w:customStyle="1">
    <w:name w:val="List Table 2 - Accent 6"/>
    <w:basedOn w:val="10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83" w:customStyle="1">
    <w:name w:val="List Table 3"/>
    <w:basedOn w:val="10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3 - Accent 1"/>
    <w:basedOn w:val="10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85" w:customStyle="1">
    <w:name w:val="List Table 3 - Accent 2"/>
    <w:basedOn w:val="10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86" w:customStyle="1">
    <w:name w:val="List Table 3 - Accent 3"/>
    <w:basedOn w:val="10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87" w:customStyle="1">
    <w:name w:val="List Table 3 - Accent 4"/>
    <w:basedOn w:val="10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88" w:customStyle="1">
    <w:name w:val="List Table 3 - Accent 5"/>
    <w:basedOn w:val="10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89" w:customStyle="1">
    <w:name w:val="List Table 3 - Accent 6"/>
    <w:basedOn w:val="10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0" w:customStyle="1">
    <w:name w:val="List Table 4"/>
    <w:basedOn w:val="10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List Table 4 - Accent 1"/>
    <w:basedOn w:val="10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2" w:customStyle="1">
    <w:name w:val="List Table 4 - Accent 2"/>
    <w:basedOn w:val="10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93" w:customStyle="1">
    <w:name w:val="List Table 4 - Accent 3"/>
    <w:basedOn w:val="10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94" w:customStyle="1">
    <w:name w:val="List Table 4 - Accent 4"/>
    <w:basedOn w:val="10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95" w:customStyle="1">
    <w:name w:val="List Table 4 - Accent 5"/>
    <w:basedOn w:val="10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96" w:customStyle="1">
    <w:name w:val="List Table 4 - Accent 6"/>
    <w:basedOn w:val="10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97" w:customStyle="1">
    <w:name w:val="List Table 5 Dark"/>
    <w:basedOn w:val="10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1"/>
    <w:basedOn w:val="10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2"/>
    <w:basedOn w:val="10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3"/>
    <w:basedOn w:val="10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4"/>
    <w:basedOn w:val="10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5"/>
    <w:basedOn w:val="10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6"/>
    <w:basedOn w:val="10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6 Colorful"/>
    <w:basedOn w:val="10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5" w:customStyle="1">
    <w:name w:val="List Table 6 Colorful - Accent 1"/>
    <w:basedOn w:val="10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06" w:customStyle="1">
    <w:name w:val="List Table 6 Colorful - Accent 2"/>
    <w:basedOn w:val="10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07" w:customStyle="1">
    <w:name w:val="List Table 6 Colorful - Accent 3"/>
    <w:basedOn w:val="10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08" w:customStyle="1">
    <w:name w:val="List Table 6 Colorful - Accent 4"/>
    <w:basedOn w:val="10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09" w:customStyle="1">
    <w:name w:val="List Table 6 Colorful - Accent 5"/>
    <w:basedOn w:val="10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0" w:customStyle="1">
    <w:name w:val="List Table 6 Colorful - Accent 6"/>
    <w:basedOn w:val="10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11" w:customStyle="1">
    <w:name w:val="List Table 7 Colorful"/>
    <w:basedOn w:val="10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List Table 7 Colorful - Accent 1"/>
    <w:basedOn w:val="10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13" w:customStyle="1">
    <w:name w:val="List Table 7 Colorful - Accent 2"/>
    <w:basedOn w:val="10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4" w:customStyle="1">
    <w:name w:val="List Table 7 Colorful - Accent 3"/>
    <w:basedOn w:val="10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15" w:customStyle="1">
    <w:name w:val="List Table 7 Colorful - Accent 4"/>
    <w:basedOn w:val="10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6" w:customStyle="1">
    <w:name w:val="List Table 7 Colorful - Accent 5"/>
    <w:basedOn w:val="10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17" w:customStyle="1">
    <w:name w:val="List Table 7 Colorful - Accent 6"/>
    <w:basedOn w:val="10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18" w:customStyle="1">
    <w:name w:val="Lined - Accent"/>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Lined - Accent 1"/>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0" w:customStyle="1">
    <w:name w:val="Lined - Accent 2"/>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1" w:customStyle="1">
    <w:name w:val="Lined - Accent 3"/>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2" w:customStyle="1">
    <w:name w:val="Lined - Accent 4"/>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23" w:customStyle="1">
    <w:name w:val="Lined - Accent 5"/>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24" w:customStyle="1">
    <w:name w:val="Lined - Accent 6"/>
    <w:basedOn w:val="10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25" w:customStyle="1">
    <w:name w:val="Bordered &amp; Lined - Accent"/>
    <w:basedOn w:val="10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6" w:customStyle="1">
    <w:name w:val="Bordered &amp; Lined - Accent 1"/>
    <w:basedOn w:val="10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7" w:customStyle="1">
    <w:name w:val="Bordered &amp; Lined - Accent 2"/>
    <w:basedOn w:val="10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8" w:customStyle="1">
    <w:name w:val="Bordered &amp; Lined - Accent 3"/>
    <w:basedOn w:val="10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9" w:customStyle="1">
    <w:name w:val="Bordered &amp; Lined - Accent 4"/>
    <w:basedOn w:val="10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0" w:customStyle="1">
    <w:name w:val="Bordered &amp; Lined - Accent 5"/>
    <w:basedOn w:val="10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1" w:customStyle="1">
    <w:name w:val="Bordered &amp; Lined - Accent 6"/>
    <w:basedOn w:val="10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2" w:customStyle="1">
    <w:name w:val="Bordered"/>
    <w:basedOn w:val="10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3" w:customStyle="1">
    <w:name w:val="Bordered - Accent 1"/>
    <w:basedOn w:val="10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34" w:customStyle="1">
    <w:name w:val="Bordered - Accent 2"/>
    <w:basedOn w:val="10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35" w:customStyle="1">
    <w:name w:val="Bordered - Accent 3"/>
    <w:basedOn w:val="10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36" w:customStyle="1">
    <w:name w:val="Bordered - Accent 4"/>
    <w:basedOn w:val="10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37" w:customStyle="1">
    <w:name w:val="Bordered - Accent 5"/>
    <w:basedOn w:val="10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38" w:customStyle="1">
    <w:name w:val="Bordered - Accent 6"/>
    <w:basedOn w:val="10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39" w:customStyle="1">
    <w:name w:val="Footnote Text Char"/>
    <w:link w:val="1082"/>
    <w:uiPriority w:val="99"/>
    <w:qFormat/>
    <w:rPr>
      <w:sz w:val="18"/>
    </w:rPr>
  </w:style>
  <w:style w:type="character" w:styleId="1240" w:customStyle="1">
    <w:name w:val="Endnote Text Char"/>
    <w:link w:val="1076"/>
    <w:uiPriority w:val="99"/>
    <w:qFormat/>
    <w:rPr>
      <w:sz w:val="20"/>
    </w:rPr>
  </w:style>
  <w:style w:type="paragraph" w:styleId="1241" w:customStyle="1">
    <w:name w:val="TOC Heading"/>
    <w:uiPriority w:val="39"/>
    <w:unhideWhenUsed/>
    <w:qFormat/>
    <w:rPr>
      <w:rFonts w:hint="default" w:ascii="Times New Roman" w:hAnsi="Times New Roman" w:eastAsia="宋体" w:cs="Times New Roman"/>
    </w:rPr>
  </w:style>
  <w:style w:type="paragraph" w:styleId="1242" w:customStyle="1">
    <w:name w:val="正文1"/>
    <w:basedOn w:val="1243"/>
    <w:uiPriority w:val="0"/>
    <w:qFormat/>
    <w:rPr>
      <w:szCs w:val="48"/>
    </w:rPr>
  </w:style>
  <w:style w:type="paragraph" w:styleId="1243" w:customStyle="1">
    <w:name w:val="*正文"/>
    <w:basedOn w:val="1055"/>
    <w:uiPriority w:val="0"/>
    <w:qFormat/>
    <w:pPr>
      <w:ind w:firstLine="480"/>
      <w:spacing w:after="156"/>
    </w:pPr>
    <w:rPr>
      <w:b/>
      <w:szCs w:val="28"/>
    </w:rPr>
  </w:style>
  <w:style w:type="paragraph" w:styleId="1244" w:customStyle="1">
    <w:name w:val="普通正文"/>
    <w:basedOn w:val="1055"/>
    <w:uiPriority w:val="0"/>
    <w:qFormat/>
    <w:pPr>
      <w:ind w:firstLine="480"/>
      <w:jc w:val="left"/>
      <w:spacing w:before="120" w:after="120" w:line="360" w:lineRule="auto"/>
    </w:pPr>
    <w:rPr>
      <w:rFonts w:ascii="Arial" w:hAnsi="Arial"/>
      <w:sz w:val="24"/>
    </w:rPr>
  </w:style>
  <w:style w:type="paragraph" w:styleId="1245" w:customStyle="1">
    <w:name w:val="正文文本1"/>
    <w:basedOn w:val="1055"/>
    <w:next w:val="1055"/>
    <w:uiPriority w:val="99"/>
    <w:qFormat/>
    <w:rPr>
      <w:rFonts w:ascii="楷体_GB2312" w:hAnsi="宋体" w:eastAsia="楷体_GB2312"/>
      <w:sz w:val="28"/>
      <w:szCs w:val="28"/>
    </w:rPr>
  </w:style>
  <w:style w:type="paragraph" w:styleId="1246" w:customStyle="1">
    <w:name w:val="标题11"/>
    <w:basedOn w:val="1055"/>
    <w:uiPriority w:val="0"/>
    <w:qFormat/>
    <w:pPr>
      <w:jc w:val="center"/>
      <w:spacing w:before="240" w:after="60"/>
      <w:outlineLvl w:val="0"/>
    </w:pPr>
    <w:rPr>
      <w:rFonts w:ascii="Arial" w:hAnsi="Arial" w:eastAsia="黑体"/>
      <w:b/>
      <w:bCs/>
      <w:sz w:val="44"/>
      <w:szCs w:val="32"/>
    </w:rPr>
  </w:style>
  <w:style w:type="table" w:styleId="1247" w:customStyle="1">
    <w:name w:val="网格型1"/>
    <w:basedOn w:val="1248"/>
    <w:uiPriority w:val="39"/>
    <w:qFormat/>
    <w:rPr>
      <w:rFonts w:ascii="Calibri" w:hAnsi="Calibri"/>
    </w:rPr>
    <w:tblPr/>
  </w:style>
  <w:style w:type="table" w:styleId="1248" w:customStyle="1">
    <w:name w:val="普通表格1"/>
    <w:uiPriority w:val="0"/>
    <w:semiHidden/>
    <w:qFormat/>
    <w:tblPr/>
  </w:style>
  <w:style w:type="paragraph" w:styleId="1249" w:customStyle="1">
    <w:name w:val="普通(网站)1"/>
    <w:basedOn w:val="1055"/>
    <w:uiPriority w:val="0"/>
    <w:qFormat/>
    <w:pPr>
      <w:ind w:left="0" w:right="0"/>
      <w:jc w:val="left"/>
      <w:spacing w:before="100" w:beforeAutospacing="1" w:after="100" w:afterAutospacing="1"/>
    </w:pPr>
    <w:rPr>
      <w:sz w:val="24"/>
      <w:lang w:val="en-US" w:eastAsia="zh-CN" w:bidi="ar"/>
    </w:rPr>
  </w:style>
  <w:style w:type="paragraph" w:styleId="1250" w:customStyle="1">
    <w:name w:val="一级标题"/>
    <w:basedOn w:val="1055"/>
    <w:next w:val="1251"/>
    <w:uiPriority w:val="0"/>
    <w:qFormat/>
    <w:pPr>
      <w:outlineLvl w:val="0"/>
    </w:pPr>
    <w:rPr>
      <w:b/>
      <w:bCs/>
      <w:sz w:val="32"/>
    </w:rPr>
  </w:style>
  <w:style w:type="paragraph" w:styleId="1251" w:customStyle="1">
    <w:name w:val="正文文本11"/>
    <w:basedOn w:val="1055"/>
    <w:next w:val="1252"/>
    <w:uiPriority w:val="0"/>
    <w:qFormat/>
    <w:pPr>
      <w:tabs>
        <w:tab w:val="left" w:pos="5250" w:leader="none"/>
      </w:tabs>
    </w:pPr>
    <w:rPr>
      <w:sz w:val="28"/>
    </w:rPr>
  </w:style>
  <w:style w:type="paragraph" w:styleId="1252" w:customStyle="1">
    <w:name w:val="正文首行缩进1"/>
    <w:basedOn w:val="1251"/>
    <w:next w:val="1055"/>
    <w:uiPriority w:val="0"/>
    <w:qFormat/>
    <w:pPr>
      <w:ind w:firstLine="420"/>
    </w:pPr>
  </w:style>
  <w:style w:type="paragraph" w:styleId="1253"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254" w:customStyle="1">
    <w:name w:val="默认段落字体1"/>
    <w:link w:val="1055"/>
    <w:uiPriority w:val="1"/>
    <w:unhideWhenUsed/>
    <w:qFormat/>
    <w:rPr>
      <w:rFonts w:hint="default" w:ascii="Calibri" w:hAnsi="Calibri" w:eastAsia="宋体" w:cs="Times New Roman"/>
      <w:sz w:val="21"/>
      <w:szCs w:val="22"/>
      <w:lang w:val="en-US" w:eastAsia="zh-CN" w:bidi="ar-SA"/>
    </w:rPr>
  </w:style>
  <w:style w:type="paragraph" w:styleId="1255" w:customStyle="1">
    <w:name w:val="p0"/>
    <w:basedOn w:val="1055"/>
    <w:uiPriority w:val="99"/>
    <w:qFormat/>
    <w:pPr>
      <w:widowControl/>
    </w:pPr>
    <w:rPr>
      <w:rFonts w:cs="宋体"/>
      <w:szCs w:val="21"/>
    </w:rPr>
  </w:style>
  <w:style w:type="paragraph" w:styleId="125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5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8"/>
    <w:uiPriority w:val="0"/>
    <w:qFormat/>
    <w:rPr>
      <w:rFonts w:hint="default" w:ascii="Times New Roman" w:hAnsi="Times New Roman" w:eastAsia="Times New Roman" w:cs="Times New Roman"/>
      <w:sz w:val="24"/>
      <w:szCs w:val="24"/>
      <w:lang w:val="en-US" w:eastAsia="zh-CN" w:bidi="ar-SA"/>
    </w:rPr>
  </w:style>
  <w:style w:type="character" w:styleId="1261" w:customStyle="1">
    <w:name w:val="默认段落字体12"/>
    <w:link w:val="1055"/>
    <w:uiPriority w:val="1"/>
    <w:unhideWhenUsed/>
    <w:qFormat/>
  </w:style>
  <w:style w:type="paragraph" w:styleId="126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6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6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0"/>
    <w:next w:val="126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67" w:customStyle="1">
    <w:name w:val="首行缩进_0"/>
    <w:basedOn w:val="1266"/>
    <w:uiPriority w:val="0"/>
    <w:qFormat/>
    <w:pPr>
      <w:ind w:firstLine="480"/>
      <w:jc w:val="left"/>
      <w:spacing w:line="360" w:lineRule="auto"/>
    </w:pPr>
    <w:rPr>
      <w:rFonts w:ascii="宋体" w:hAnsi="宋体"/>
      <w:sz w:val="24"/>
    </w:rPr>
  </w:style>
  <w:style w:type="paragraph" w:styleId="126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75" w:customStyle="1">
    <w:name w:val="Normal_13"/>
    <w:uiPriority w:val="0"/>
    <w:qFormat/>
    <w:rPr>
      <w:rFonts w:hint="default" w:ascii="Times New Roman" w:hAnsi="Times New Roman" w:eastAsia="Times New Roman" w:cs="Times New Roman"/>
      <w:sz w:val="24"/>
      <w:szCs w:val="24"/>
      <w:lang w:val="en-US" w:eastAsia="zh-CN" w:bidi="ar-SA"/>
    </w:rPr>
  </w:style>
  <w:style w:type="character" w:styleId="1276" w:customStyle="1">
    <w:name w:val="默认段落字体11"/>
    <w:link w:val="1055"/>
    <w:uiPriority w:val="0"/>
    <w:semiHidden/>
    <w:qFormat/>
  </w:style>
  <w:style w:type="paragraph" w:styleId="127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7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5_1"/>
    <w:uiPriority w:val="0"/>
    <w:qFormat/>
    <w:rPr>
      <w:rFonts w:hint="default" w:ascii="Times New Roman" w:hAnsi="Times New Roman" w:eastAsia="Times New Roman" w:cs="Times New Roman"/>
      <w:sz w:val="24"/>
      <w:szCs w:val="24"/>
      <w:lang w:val="en-US" w:eastAsia="zh-CN" w:bidi="ar-SA"/>
    </w:rPr>
  </w:style>
  <w:style w:type="character" w:styleId="1284" w:customStyle="1">
    <w:name w:val="强调1"/>
    <w:basedOn w:val="1276"/>
    <w:link w:val="1055"/>
    <w:uiPriority w:val="20"/>
    <w:qFormat/>
    <w:rPr>
      <w:i/>
    </w:rPr>
  </w:style>
  <w:style w:type="paragraph" w:styleId="128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02" w:customStyle="1">
    <w:name w:val="正文_0_0"/>
    <w:next w:val="1303"/>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正文文本_0"/>
    <w:basedOn w:val="1302"/>
    <w:uiPriority w:val="0"/>
    <w:qFormat/>
    <w:pPr>
      <w:spacing w:line="400" w:lineRule="exact"/>
    </w:pPr>
    <w:rPr>
      <w:sz w:val="24"/>
    </w:rPr>
  </w:style>
  <w:style w:type="paragraph" w:styleId="130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15" w:customStyle="1">
    <w:name w:val="页眉1"/>
    <w:basedOn w:val="1055"/>
    <w:uiPriority w:val="99"/>
    <w:qFormat/>
    <w:pPr>
      <w:jc w:val="center"/>
      <w:tabs>
        <w:tab w:val="center" w:pos="4153" w:leader="none"/>
        <w:tab w:val="right" w:pos="8306" w:leader="none"/>
      </w:tabs>
      <w:pBdr>
        <w:bottom w:val="single" w:color="000000" w:sz="6" w:space="1"/>
      </w:pBdr>
    </w:pPr>
    <w:rPr>
      <w:sz w:val="18"/>
      <w:szCs w:val="18"/>
    </w:rPr>
  </w:style>
  <w:style w:type="paragraph" w:styleId="1316" w:customStyle="1">
    <w:name w:val="页脚1"/>
    <w:basedOn w:val="1055"/>
    <w:uiPriority w:val="99"/>
    <w:qFormat/>
    <w:pPr>
      <w:jc w:val="left"/>
      <w:tabs>
        <w:tab w:val="center" w:pos="4153" w:leader="none"/>
        <w:tab w:val="right" w:pos="8306" w:leader="none"/>
      </w:tabs>
    </w:pPr>
    <w:rPr>
      <w:sz w:val="18"/>
      <w:szCs w:val="18"/>
    </w:rPr>
  </w:style>
  <w:style w:type="character" w:styleId="1317" w:customStyle="1">
    <w:name w:val="页码1"/>
    <w:link w:val="1055"/>
    <w:uiPriority w:val="0"/>
    <w:qFormat/>
  </w:style>
  <w:style w:type="paragraph" w:styleId="1318" w:customStyle="1">
    <w:name w:val="页脚11"/>
    <w:basedOn w:val="1055"/>
    <w:uiPriority w:val="99"/>
    <w:unhideWhenUsed/>
    <w:qFormat/>
    <w:pPr>
      <w:tabs>
        <w:tab w:val="center" w:pos="7143" w:leader="none"/>
        <w:tab w:val="right" w:pos="14287" w:leader="none"/>
      </w:tabs>
    </w:pPr>
  </w:style>
  <w:style w:type="paragraph" w:styleId="1319" w:customStyle="1">
    <w:name w:val="Normal_0_2"/>
    <w:uiPriority w:val="0"/>
    <w:qFormat/>
    <w:rPr>
      <w:rFonts w:hint="default" w:ascii="Times New Roman" w:hAnsi="Times New Roman" w:eastAsia="Times New Roman" w:cs="Times New Roman"/>
      <w:sz w:val="24"/>
      <w:szCs w:val="24"/>
    </w:rPr>
  </w:style>
  <w:style w:type="paragraph" w:styleId="132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0_5"/>
    <w:uiPriority w:val="0"/>
    <w:qFormat/>
    <w:rPr>
      <w:rFonts w:hint="default" w:ascii="Times New Roman" w:hAnsi="Times New Roman" w:eastAsia="Times New Roman" w:cs="Times New Roman"/>
      <w:sz w:val="24"/>
      <w:szCs w:val="24"/>
    </w:rPr>
  </w:style>
  <w:style w:type="paragraph" w:styleId="1322" w:customStyle="1">
    <w:name w:val="Normal_9"/>
    <w:uiPriority w:val="0"/>
    <w:qFormat/>
    <w:rPr>
      <w:rFonts w:hint="default" w:ascii="Times New Roman" w:hAnsi="Times New Roman" w:eastAsia="Times New Roman" w:cs="Times New Roman"/>
      <w:sz w:val="24"/>
      <w:szCs w:val="24"/>
    </w:rPr>
  </w:style>
  <w:style w:type="paragraph" w:styleId="1323"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25" w:customStyle="1">
    <w:name w:val="段"/>
    <w:basedOn w:val="1326"/>
    <w:next w:val="1327"/>
    <w:uiPriority w:val="0"/>
    <w:qFormat/>
    <w:pPr>
      <w:ind w:firstLine="200"/>
      <w:jc w:val="both"/>
    </w:pPr>
    <w:rPr>
      <w:rFonts w:ascii="宋体"/>
      <w:sz w:val="21"/>
      <w:szCs w:val="22"/>
      <w:lang w:val="en-US" w:eastAsia="zh-CN" w:bidi="ar-SA"/>
    </w:rPr>
  </w:style>
  <w:style w:type="paragraph" w:styleId="13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 A"/>
    <w:next w:val="1325"/>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328" w:customStyle="1">
    <w:name w:val="正文(其它)"/>
    <w:basedOn w:val="1055"/>
    <w:uiPriority w:val="0"/>
    <w:qFormat/>
    <w:pPr>
      <w:jc w:val="center"/>
      <w:spacing w:line="312" w:lineRule="auto"/>
    </w:pPr>
    <w:rPr>
      <w:rFonts w:ascii="黑体" w:eastAsia="黑体"/>
      <w:sz w:val="32"/>
      <w:szCs w:val="32"/>
    </w:rPr>
  </w:style>
  <w:style w:type="paragraph" w:styleId="1329" w:customStyle="1">
    <w:name w:val="Normal_25"/>
    <w:uiPriority w:val="0"/>
    <w:qFormat/>
    <w:rPr>
      <w:rFonts w:hint="default" w:ascii="Times New Roman" w:hAnsi="Times New Roman" w:eastAsia="Times New Roman" w:cs="Times New Roman"/>
      <w:sz w:val="24"/>
      <w:szCs w:val="24"/>
      <w:lang w:val="en-US" w:eastAsia="zh-CN" w:bidi="ar-SA"/>
    </w:rPr>
  </w:style>
  <w:style w:type="numbering" w:styleId="13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footer" Target="footer3.xml" /><Relationship Id="rId28" Type="http://schemas.openxmlformats.org/officeDocument/2006/relationships/footer" Target="footer4.xml" /><Relationship Id="rId29" Type="http://schemas.openxmlformats.org/officeDocument/2006/relationships/footer" Target="footer5.xml" /><Relationship Id="rId30" Type="http://schemas.openxmlformats.org/officeDocument/2006/relationships/footer" Target="footer6.xml" /><Relationship Id="rId31" Type="http://schemas.openxmlformats.org/officeDocument/2006/relationships/footer" Target="footer7.xml" /><Relationship Id="rId32" Type="http://schemas.openxmlformats.org/officeDocument/2006/relationships/footer" Target="footer8.xml" /><Relationship Id="rId33" Type="http://schemas.openxmlformats.org/officeDocument/2006/relationships/footer" Target="footer9.xml" /><Relationship Id="rId34" Type="http://schemas.openxmlformats.org/officeDocument/2006/relationships/footer" Target="footer10.xml" /><Relationship Id="rId3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14</cp:revision>
  <dcterms:created xsi:type="dcterms:W3CDTF">2025-06-09T08:48:00Z</dcterms:created>
  <dcterms:modified xsi:type="dcterms:W3CDTF">2026-01-16T04:35:06Z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52B9A141C421470E8E6B5CADCE3F27DA_13</vt:lpwstr>
  </property>
  <property fmtid="{D5CDD505-2E9C-101B-9397-08002B2CF9AE}" pid="4" name="KSOTemplateDocerSaveRecord">
    <vt:lpwstr>eyJoZGlkIjoiMWU0MmI1YWQxYmRiZDg0NzYyZGJiM2ZlM2VjN2EyZjYiLCJ1c2VySWQiOiIxNDQ0Njc2MzU2In0=</vt:lpwstr>
  </property>
</Properties>
</file>